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F66B58" w14:textId="3AD601FD" w:rsidR="004B3B82" w:rsidRPr="00483914" w:rsidRDefault="00E02B13" w:rsidP="004B3B82">
      <w:pPr>
        <w:pStyle w:val="Title"/>
        <w:rPr>
          <w:rFonts w:asciiTheme="minorHAnsi" w:hAnsiTheme="minorHAnsi"/>
          <w:b/>
          <w:bCs/>
          <w:color w:val="002060"/>
          <w:sz w:val="40"/>
          <w:szCs w:val="40"/>
        </w:rPr>
      </w:pPr>
      <w:r w:rsidRPr="00483914">
        <w:rPr>
          <w:rFonts w:asciiTheme="minorHAnsi" w:hAnsiTheme="minorHAnsi"/>
          <w:b/>
          <w:bCs/>
          <w:color w:val="002060"/>
          <w:sz w:val="40"/>
          <w:szCs w:val="40"/>
        </w:rPr>
        <w:t xml:space="preserve">The </w:t>
      </w:r>
      <w:r w:rsidR="00376B2E" w:rsidRPr="00483914">
        <w:rPr>
          <w:rFonts w:asciiTheme="minorHAnsi" w:hAnsiTheme="minorHAnsi"/>
          <w:b/>
          <w:bCs/>
          <w:color w:val="002060"/>
          <w:sz w:val="40"/>
          <w:szCs w:val="40"/>
        </w:rPr>
        <w:t>“</w:t>
      </w:r>
      <w:r w:rsidRPr="00483914">
        <w:rPr>
          <w:rFonts w:asciiTheme="minorHAnsi" w:hAnsiTheme="minorHAnsi"/>
          <w:b/>
          <w:bCs/>
          <w:color w:val="002060"/>
          <w:sz w:val="40"/>
          <w:szCs w:val="40"/>
        </w:rPr>
        <w:t>VOO</w:t>
      </w:r>
      <w:r w:rsidR="00376B2E" w:rsidRPr="00483914">
        <w:rPr>
          <w:rFonts w:asciiTheme="minorHAnsi" w:hAnsiTheme="minorHAnsi"/>
          <w:b/>
          <w:bCs/>
          <w:color w:val="002060"/>
          <w:sz w:val="40"/>
          <w:szCs w:val="40"/>
        </w:rPr>
        <w:t>”</w:t>
      </w:r>
      <w:r w:rsidR="00536F03">
        <w:rPr>
          <w:rFonts w:asciiTheme="minorHAnsi" w:hAnsiTheme="minorHAnsi"/>
          <w:b/>
          <w:bCs/>
          <w:color w:val="002060"/>
          <w:sz w:val="40"/>
          <w:szCs w:val="40"/>
        </w:rPr>
        <w:t xml:space="preserve">: another tool </w:t>
      </w:r>
      <w:r w:rsidRPr="00483914">
        <w:rPr>
          <w:rFonts w:asciiTheme="minorHAnsi" w:hAnsiTheme="minorHAnsi"/>
          <w:b/>
          <w:bCs/>
          <w:color w:val="002060"/>
          <w:sz w:val="40"/>
          <w:szCs w:val="40"/>
        </w:rPr>
        <w:t>in the armoury of public protection</w:t>
      </w:r>
    </w:p>
    <w:p w14:paraId="2E88CD39" w14:textId="77777777" w:rsidR="00F94F5C" w:rsidRPr="00483914" w:rsidRDefault="00F94F5C" w:rsidP="00F94F5C">
      <w:pPr>
        <w:rPr>
          <w:color w:val="002060"/>
        </w:rPr>
      </w:pPr>
    </w:p>
    <w:p w14:paraId="375184E1" w14:textId="415DBA0E" w:rsidR="00BD0CAE" w:rsidRDefault="004056DC" w:rsidP="00BD0CAE">
      <w:pPr>
        <w:rPr>
          <w:b/>
          <w:bCs/>
          <w:color w:val="002060"/>
        </w:rPr>
      </w:pPr>
      <w:r w:rsidRPr="00483914">
        <w:rPr>
          <w:b/>
          <w:bCs/>
          <w:color w:val="002060"/>
        </w:rPr>
        <w:t>AN IN</w:t>
      </w:r>
      <w:r w:rsidR="00F94F5C" w:rsidRPr="00483914">
        <w:rPr>
          <w:b/>
          <w:bCs/>
          <w:color w:val="002060"/>
        </w:rPr>
        <w:t>TRODUCTORY</w:t>
      </w:r>
      <w:r w:rsidRPr="00483914">
        <w:rPr>
          <w:b/>
          <w:bCs/>
          <w:color w:val="002060"/>
        </w:rPr>
        <w:t xml:space="preserve"> </w:t>
      </w:r>
      <w:r w:rsidR="00C44BA2" w:rsidRPr="00483914">
        <w:rPr>
          <w:b/>
          <w:bCs/>
          <w:color w:val="002060"/>
        </w:rPr>
        <w:t>GUIDE FOR PRACTIONER</w:t>
      </w:r>
      <w:r w:rsidR="009D35D1">
        <w:rPr>
          <w:b/>
          <w:bCs/>
          <w:color w:val="002060"/>
        </w:rPr>
        <w:t>S</w:t>
      </w:r>
      <w:r w:rsidRPr="00483914">
        <w:rPr>
          <w:b/>
          <w:bCs/>
          <w:color w:val="002060"/>
        </w:rPr>
        <w:t xml:space="preserve"> </w:t>
      </w:r>
      <w:r w:rsidR="00C44BA2" w:rsidRPr="00483914">
        <w:rPr>
          <w:b/>
          <w:bCs/>
          <w:color w:val="002060"/>
        </w:rPr>
        <w:t xml:space="preserve">MAKING OR DEFENDING </w:t>
      </w:r>
      <w:r w:rsidR="004C0D40" w:rsidRPr="00483914">
        <w:rPr>
          <w:b/>
          <w:bCs/>
          <w:color w:val="002060"/>
        </w:rPr>
        <w:t>AN APPLICATION FOR A VIOLENT OFFENDER ORDER</w:t>
      </w:r>
    </w:p>
    <w:p w14:paraId="2B69C15A" w14:textId="77777777" w:rsidR="00483914" w:rsidRDefault="00483914" w:rsidP="00BD0CAE">
      <w:pPr>
        <w:rPr>
          <w:b/>
          <w:bCs/>
          <w:color w:val="002060"/>
        </w:rPr>
      </w:pPr>
    </w:p>
    <w:p w14:paraId="019DC73E" w14:textId="3ACC419D" w:rsidR="00483914" w:rsidRPr="00483914" w:rsidRDefault="00483914" w:rsidP="00BD0CAE">
      <w:pPr>
        <w:rPr>
          <w:b/>
          <w:bCs/>
          <w:color w:val="002060"/>
          <w:sz w:val="28"/>
          <w:szCs w:val="28"/>
        </w:rPr>
      </w:pPr>
      <w:r w:rsidRPr="00483914">
        <w:rPr>
          <w:b/>
          <w:bCs/>
          <w:color w:val="002060"/>
          <w:sz w:val="28"/>
          <w:szCs w:val="28"/>
        </w:rPr>
        <w:t>Introduction</w:t>
      </w:r>
    </w:p>
    <w:p w14:paraId="01A844DB" w14:textId="1D436902" w:rsidR="004B3B82" w:rsidRPr="00483914" w:rsidRDefault="004B3B82" w:rsidP="00DF6258">
      <w:pPr>
        <w:pStyle w:val="ListParagraph"/>
        <w:numPr>
          <w:ilvl w:val="0"/>
          <w:numId w:val="3"/>
        </w:numPr>
      </w:pPr>
      <w:r w:rsidRPr="00483914">
        <w:t xml:space="preserve">Violent Offender Orders (VOOs) are </w:t>
      </w:r>
      <w:r w:rsidR="00E02B13" w:rsidRPr="00483914">
        <w:t>orders</w:t>
      </w:r>
      <w:r w:rsidRPr="00483914">
        <w:t xml:space="preserve"> aimed at managing and mitigating risks posed by individuals convicted of violent crimes. </w:t>
      </w:r>
      <w:r w:rsidR="00E02B13" w:rsidRPr="00483914">
        <w:t xml:space="preserve"> They are intended to </w:t>
      </w:r>
      <w:r w:rsidRPr="00483914">
        <w:t>enhance public safety</w:t>
      </w:r>
      <w:r w:rsidR="00E02B13" w:rsidRPr="00483914">
        <w:t xml:space="preserve">. </w:t>
      </w:r>
      <w:r w:rsidRPr="00483914">
        <w:t>VOOs impose restrictions and obligations on offenders to prevent further incidents of violence.</w:t>
      </w:r>
    </w:p>
    <w:p w14:paraId="73B2DCE0" w14:textId="77777777" w:rsidR="00F94F5C" w:rsidRPr="00483914" w:rsidRDefault="00F94F5C" w:rsidP="00F94F5C">
      <w:pPr>
        <w:pStyle w:val="ListParagraph"/>
      </w:pPr>
    </w:p>
    <w:p w14:paraId="12B30EEA" w14:textId="4FAB9275" w:rsidR="007B1F60" w:rsidRPr="00483914" w:rsidRDefault="00DF6258" w:rsidP="007B1F60">
      <w:pPr>
        <w:pStyle w:val="ListParagraph"/>
        <w:numPr>
          <w:ilvl w:val="0"/>
          <w:numId w:val="3"/>
        </w:numPr>
      </w:pPr>
      <w:r w:rsidRPr="00483914">
        <w:t>The Chief Constable of G</w:t>
      </w:r>
      <w:r w:rsidR="00C40648" w:rsidRPr="00483914">
        <w:t>loucestershire Constabulary recently made a successful application for such an order. It was the first VOO to be made in the County</w:t>
      </w:r>
      <w:r w:rsidR="00393C9D" w:rsidRPr="00483914">
        <w:t>.</w:t>
      </w:r>
      <w:r w:rsidR="006F1B22" w:rsidRPr="00483914">
        <w:t xml:space="preserve"> The VOO was introduced by </w:t>
      </w:r>
      <w:r w:rsidR="00CB417C" w:rsidRPr="00483914">
        <w:t xml:space="preserve">the Criminal Justice </w:t>
      </w:r>
      <w:r w:rsidR="00483914" w:rsidRPr="00483914">
        <w:t>and</w:t>
      </w:r>
      <w:r w:rsidR="00CB417C" w:rsidRPr="00483914">
        <w:t xml:space="preserve"> Immigration Act 2008 </w:t>
      </w:r>
      <w:r w:rsidR="00A61AFE" w:rsidRPr="00483914">
        <w:t>(“</w:t>
      </w:r>
      <w:r w:rsidR="00CB417C" w:rsidRPr="00483914">
        <w:t xml:space="preserve">The Act”) and came into force on 03/08/2009. </w:t>
      </w:r>
      <w:r w:rsidR="002236E0" w:rsidRPr="00483914">
        <w:t xml:space="preserve">Although the VOO has been </w:t>
      </w:r>
      <w:r w:rsidR="00CB417C" w:rsidRPr="00483914">
        <w:t>around for some time</w:t>
      </w:r>
      <w:r w:rsidR="004056DC" w:rsidRPr="00483914">
        <w:t xml:space="preserve">, they </w:t>
      </w:r>
      <w:r w:rsidR="004C0D40" w:rsidRPr="00483914">
        <w:t>will</w:t>
      </w:r>
      <w:r w:rsidR="00393C9D" w:rsidRPr="00483914">
        <w:t xml:space="preserve"> continue to be relatively rare, given that they are </w:t>
      </w:r>
      <w:r w:rsidR="004C0D40" w:rsidRPr="00483914">
        <w:t xml:space="preserve">not a measure of first resort. They are arguably a measure of last resort, but when public safety is </w:t>
      </w:r>
      <w:r w:rsidR="00321032" w:rsidRPr="00483914">
        <w:t xml:space="preserve">significantly </w:t>
      </w:r>
      <w:r w:rsidR="004C0D40" w:rsidRPr="00483914">
        <w:t>threatened by</w:t>
      </w:r>
      <w:r w:rsidR="00321032" w:rsidRPr="00483914">
        <w:t xml:space="preserve"> </w:t>
      </w:r>
      <w:r w:rsidR="004B3B82" w:rsidRPr="00483914">
        <w:t xml:space="preserve">individuals who have demonstrated a propensity for violence </w:t>
      </w:r>
      <w:r w:rsidR="00321032" w:rsidRPr="00483914">
        <w:t xml:space="preserve">and pose a </w:t>
      </w:r>
      <w:r w:rsidR="00EE5294" w:rsidRPr="00483914">
        <w:t xml:space="preserve">significant continuing risk, the VOO ensures that the offender is subjected to </w:t>
      </w:r>
      <w:r w:rsidR="004B3B82" w:rsidRPr="00483914">
        <w:t xml:space="preserve">rigorous oversight. </w:t>
      </w:r>
      <w:r w:rsidR="00EE5294" w:rsidRPr="00483914">
        <w:t>The Orders</w:t>
      </w:r>
      <w:r w:rsidR="004B3B82" w:rsidRPr="00483914">
        <w:t xml:space="preserve"> are intended to bridge the gap between incarceration and </w:t>
      </w:r>
      <w:r w:rsidR="00EE5294" w:rsidRPr="00483914">
        <w:t>liberation</w:t>
      </w:r>
      <w:r w:rsidR="004B3B82" w:rsidRPr="00483914">
        <w:t xml:space="preserve">, offering a structured approach to reintegration </w:t>
      </w:r>
      <w:r w:rsidR="00EE5294" w:rsidRPr="00483914">
        <w:t xml:space="preserve">within the community. </w:t>
      </w:r>
    </w:p>
    <w:p w14:paraId="37BDB7AC" w14:textId="77777777" w:rsidR="00824112" w:rsidRPr="00483914" w:rsidRDefault="00824112" w:rsidP="00824112">
      <w:pPr>
        <w:pStyle w:val="ListParagraph"/>
      </w:pPr>
    </w:p>
    <w:p w14:paraId="6B4F16F2" w14:textId="69A1C187" w:rsidR="007B1F60" w:rsidRPr="00483914" w:rsidRDefault="00394E18" w:rsidP="007B1F60">
      <w:pPr>
        <w:pStyle w:val="ListParagraph"/>
        <w:numPr>
          <w:ilvl w:val="0"/>
          <w:numId w:val="3"/>
        </w:numPr>
      </w:pPr>
      <w:r w:rsidRPr="00483914">
        <w:t xml:space="preserve">Rehabilitation and support for the offender, who may be </w:t>
      </w:r>
      <w:r w:rsidR="00D30E98">
        <w:t>returned</w:t>
      </w:r>
      <w:r w:rsidRPr="00483914">
        <w:t xml:space="preserve"> into the community without sufficient </w:t>
      </w:r>
      <w:r w:rsidR="007B1F60" w:rsidRPr="00483914">
        <w:t>assistance, is an indirect and important consequence of the VOO when licence conditions are about to lapse.</w:t>
      </w:r>
    </w:p>
    <w:p w14:paraId="61C7E086" w14:textId="77777777" w:rsidR="004579E8" w:rsidRPr="00483914" w:rsidRDefault="004579E8" w:rsidP="004579E8">
      <w:pPr>
        <w:pStyle w:val="ListParagraph"/>
      </w:pPr>
    </w:p>
    <w:p w14:paraId="4AD36B27" w14:textId="1C883A67" w:rsidR="005A2917" w:rsidRPr="00483914" w:rsidRDefault="00E57C32" w:rsidP="007B1F60">
      <w:pPr>
        <w:pStyle w:val="ListParagraph"/>
        <w:numPr>
          <w:ilvl w:val="0"/>
          <w:numId w:val="3"/>
        </w:numPr>
      </w:pPr>
      <w:r w:rsidRPr="00483914">
        <w:t xml:space="preserve">There is very little guidance on the </w:t>
      </w:r>
      <w:r w:rsidR="00536D9A" w:rsidRPr="00483914">
        <w:t xml:space="preserve">imposition of VOOs. </w:t>
      </w:r>
      <w:r w:rsidR="004579E8" w:rsidRPr="00483914">
        <w:t>Practitioners</w:t>
      </w:r>
      <w:r w:rsidR="00536D9A" w:rsidRPr="00483914">
        <w:t xml:space="preserve"> may wish to go back to </w:t>
      </w:r>
      <w:r w:rsidR="005E31F1" w:rsidRPr="00483914">
        <w:t xml:space="preserve">basic principles and issues of </w:t>
      </w:r>
    </w:p>
    <w:p w14:paraId="6B446CB8" w14:textId="4BE275D6" w:rsidR="005A2917" w:rsidRPr="00483914" w:rsidRDefault="005A2917" w:rsidP="005A2917">
      <w:pPr>
        <w:pStyle w:val="ListParagraph"/>
        <w:numPr>
          <w:ilvl w:val="1"/>
          <w:numId w:val="3"/>
        </w:numPr>
      </w:pPr>
      <w:r w:rsidRPr="00483914">
        <w:t>N</w:t>
      </w:r>
      <w:r w:rsidR="005E31F1" w:rsidRPr="00483914">
        <w:t>ecessity</w:t>
      </w:r>
    </w:p>
    <w:p w14:paraId="1B897A69" w14:textId="77777777" w:rsidR="005A2917" w:rsidRPr="00483914" w:rsidRDefault="005A2917" w:rsidP="005A2917">
      <w:pPr>
        <w:pStyle w:val="ListParagraph"/>
        <w:numPr>
          <w:ilvl w:val="1"/>
          <w:numId w:val="3"/>
        </w:numPr>
      </w:pPr>
      <w:r w:rsidRPr="00483914">
        <w:t>P</w:t>
      </w:r>
      <w:r w:rsidR="005E31F1" w:rsidRPr="00483914">
        <w:t>roportionality</w:t>
      </w:r>
      <w:r w:rsidRPr="00483914">
        <w:t>; and</w:t>
      </w:r>
    </w:p>
    <w:p w14:paraId="45A38EE7" w14:textId="65A4D2C7" w:rsidR="005A2917" w:rsidRPr="00483914" w:rsidRDefault="00D30E98" w:rsidP="005A2917">
      <w:pPr>
        <w:pStyle w:val="ListParagraph"/>
        <w:numPr>
          <w:ilvl w:val="1"/>
          <w:numId w:val="3"/>
        </w:numPr>
      </w:pPr>
      <w:r>
        <w:t>P</w:t>
      </w:r>
      <w:r w:rsidR="00F62911" w:rsidRPr="00483914">
        <w:t>racticality</w:t>
      </w:r>
      <w:r w:rsidR="005E31F1" w:rsidRPr="00483914">
        <w:t xml:space="preserve"> </w:t>
      </w:r>
    </w:p>
    <w:p w14:paraId="2F1B0F8D" w14:textId="5AB6435F" w:rsidR="007D27FE" w:rsidRPr="00483914" w:rsidRDefault="005E31F1" w:rsidP="007D27FE">
      <w:pPr>
        <w:ind w:left="1080"/>
      </w:pPr>
      <w:r w:rsidRPr="00483914">
        <w:t xml:space="preserve">when considering the making of a VOO </w:t>
      </w:r>
      <w:proofErr w:type="gramStart"/>
      <w:r w:rsidRPr="00483914">
        <w:t>and also</w:t>
      </w:r>
      <w:proofErr w:type="gramEnd"/>
      <w:r w:rsidRPr="00483914">
        <w:t xml:space="preserve"> the terms, analogous to the </w:t>
      </w:r>
      <w:r w:rsidR="005A2917" w:rsidRPr="00483914">
        <w:t xml:space="preserve">public protection, analogous </w:t>
      </w:r>
      <w:r w:rsidR="007D27FE" w:rsidRPr="00483914">
        <w:t xml:space="preserve">to the test </w:t>
      </w:r>
      <w:r w:rsidR="00F94F5C" w:rsidRPr="00483914">
        <w:t xml:space="preserve">in </w:t>
      </w:r>
      <w:r w:rsidR="00F94F5C" w:rsidRPr="00483914">
        <w:rPr>
          <w:i/>
          <w:iCs/>
        </w:rPr>
        <w:t>Smith</w:t>
      </w:r>
      <w:r w:rsidR="007D27FE" w:rsidRPr="00483914">
        <w:t xml:space="preserve"> [2011] EWCA Crim 1772; [2012] 1 Cr. App. R. (S.) 82 (which applied to the </w:t>
      </w:r>
      <w:r w:rsidR="00F62911" w:rsidRPr="00483914">
        <w:t>old</w:t>
      </w:r>
      <w:r w:rsidR="007D27FE" w:rsidRPr="00483914">
        <w:t xml:space="preserve"> SOPO regime</w:t>
      </w:r>
      <w:r w:rsidR="00F62911" w:rsidRPr="00483914">
        <w:t xml:space="preserve"> for sexual offenders</w:t>
      </w:r>
      <w:r w:rsidR="007D27FE" w:rsidRPr="00483914">
        <w:t xml:space="preserve">) cited in </w:t>
      </w:r>
      <w:r w:rsidR="007D27FE" w:rsidRPr="00483914">
        <w:rPr>
          <w:u w:val="single"/>
        </w:rPr>
        <w:t>Archbold 2025</w:t>
      </w:r>
      <w:r w:rsidR="007D27FE" w:rsidRPr="00483914">
        <w:t xml:space="preserve"> at 20-317: </w:t>
      </w:r>
    </w:p>
    <w:p w14:paraId="3C30557C" w14:textId="77777777" w:rsidR="007D27FE" w:rsidRPr="00483914" w:rsidRDefault="007D27FE" w:rsidP="007D27FE">
      <w:pPr>
        <w:ind w:left="1080"/>
      </w:pPr>
    </w:p>
    <w:p w14:paraId="254C57E8" w14:textId="77777777" w:rsidR="007D27FE" w:rsidRPr="00483914" w:rsidRDefault="007D27FE" w:rsidP="007D27FE">
      <w:pPr>
        <w:ind w:left="1080"/>
        <w:rPr>
          <w:sz w:val="20"/>
          <w:szCs w:val="20"/>
        </w:rPr>
      </w:pPr>
      <w:r w:rsidRPr="00483914">
        <w:rPr>
          <w:sz w:val="20"/>
          <w:szCs w:val="20"/>
        </w:rPr>
        <w:t xml:space="preserve">“(a) An order must be necessary and proportionate, and its terms must be sufficiently clear on their face for the offender and those who </w:t>
      </w:r>
      <w:proofErr w:type="gramStart"/>
      <w:r w:rsidRPr="00483914">
        <w:rPr>
          <w:sz w:val="20"/>
          <w:szCs w:val="20"/>
        </w:rPr>
        <w:t>have to</w:t>
      </w:r>
      <w:proofErr w:type="gramEnd"/>
      <w:r w:rsidRPr="00483914">
        <w:rPr>
          <w:sz w:val="20"/>
          <w:szCs w:val="20"/>
        </w:rPr>
        <w:t xml:space="preserve"> deal with him to understand, without difficulty or the need for expert legal advice, exactly what is prohibited.</w:t>
      </w:r>
    </w:p>
    <w:p w14:paraId="3E91EB10" w14:textId="5A9EC84F" w:rsidR="00E57C32" w:rsidRPr="00483914" w:rsidRDefault="007D27FE" w:rsidP="007D27FE">
      <w:pPr>
        <w:ind w:left="1080"/>
        <w:rPr>
          <w:sz w:val="20"/>
          <w:szCs w:val="20"/>
        </w:rPr>
      </w:pPr>
      <w:r w:rsidRPr="00483914">
        <w:rPr>
          <w:sz w:val="20"/>
          <w:szCs w:val="20"/>
        </w:rPr>
        <w:t xml:space="preserve">(b) </w:t>
      </w:r>
      <w:r w:rsidRPr="00483914">
        <w:rPr>
          <w:i/>
          <w:iCs/>
          <w:sz w:val="20"/>
          <w:szCs w:val="20"/>
        </w:rPr>
        <w:t xml:space="preserve">No order is needed if it merely duplicates another regime to which an offender is </w:t>
      </w:r>
      <w:r w:rsidR="004579E8" w:rsidRPr="00483914">
        <w:rPr>
          <w:i/>
          <w:iCs/>
          <w:sz w:val="20"/>
          <w:szCs w:val="20"/>
        </w:rPr>
        <w:t>subject</w:t>
      </w:r>
      <w:r w:rsidR="004579E8" w:rsidRPr="00483914">
        <w:rPr>
          <w:sz w:val="20"/>
          <w:szCs w:val="20"/>
        </w:rPr>
        <w:t>….”</w:t>
      </w:r>
    </w:p>
    <w:p w14:paraId="1E26D439" w14:textId="77777777" w:rsidR="00F62911" w:rsidRDefault="00F62911" w:rsidP="00483914"/>
    <w:p w14:paraId="280B8392" w14:textId="2B3A018A" w:rsidR="00483914" w:rsidRPr="00483914" w:rsidRDefault="00483914" w:rsidP="00483914">
      <w:pPr>
        <w:rPr>
          <w:b/>
          <w:bCs/>
          <w:color w:val="002060"/>
          <w:sz w:val="28"/>
          <w:szCs w:val="28"/>
        </w:rPr>
      </w:pPr>
      <w:r w:rsidRPr="00483914">
        <w:rPr>
          <w:b/>
          <w:bCs/>
          <w:color w:val="002060"/>
          <w:sz w:val="28"/>
          <w:szCs w:val="28"/>
        </w:rPr>
        <w:t>Necessity</w:t>
      </w:r>
    </w:p>
    <w:p w14:paraId="1C13F5D8" w14:textId="2EF0DAB1" w:rsidR="00F62911" w:rsidRPr="00483914" w:rsidRDefault="00F94F5C" w:rsidP="00F62911">
      <w:pPr>
        <w:pStyle w:val="ListParagraph"/>
        <w:numPr>
          <w:ilvl w:val="0"/>
          <w:numId w:val="3"/>
        </w:numPr>
      </w:pPr>
      <w:r w:rsidRPr="00483914">
        <w:t xml:space="preserve">The Criminal Justice </w:t>
      </w:r>
      <w:r w:rsidR="00824112" w:rsidRPr="00483914">
        <w:t>and</w:t>
      </w:r>
      <w:r w:rsidRPr="00483914">
        <w:t xml:space="preserve"> Immigration Act 2008 </w:t>
      </w:r>
      <w:r w:rsidR="00B51EC5" w:rsidRPr="00483914">
        <w:t>effectively states</w:t>
      </w:r>
      <w:r w:rsidR="00E14F5C" w:rsidRPr="00483914">
        <w:t xml:space="preserve"> that VOOs </w:t>
      </w:r>
      <w:r w:rsidR="00736806" w:rsidRPr="00483914">
        <w:t xml:space="preserve">are unlikely to be necessary </w:t>
      </w:r>
      <w:r w:rsidR="00736806" w:rsidRPr="00483914">
        <w:rPr>
          <w:i/>
          <w:iCs/>
        </w:rPr>
        <w:t xml:space="preserve">if </w:t>
      </w:r>
      <w:r w:rsidR="00736806" w:rsidRPr="00483914">
        <w:t xml:space="preserve">there are other </w:t>
      </w:r>
      <w:r w:rsidR="001565B2" w:rsidRPr="00483914">
        <w:t>Orders or regimes which are already in existence to protect the public from the type of harm envisaged by a VOO: -</w:t>
      </w:r>
    </w:p>
    <w:p w14:paraId="208279B6" w14:textId="77777777" w:rsidR="001565B2" w:rsidRPr="00483914" w:rsidRDefault="001565B2" w:rsidP="001565B2">
      <w:pPr>
        <w:pStyle w:val="ListParagraph"/>
      </w:pPr>
    </w:p>
    <w:p w14:paraId="3DEAF8B3" w14:textId="41441031" w:rsidR="00AD75B4" w:rsidRPr="00483914" w:rsidRDefault="00AD75B4" w:rsidP="001565B2">
      <w:pPr>
        <w:pStyle w:val="ListParagraph"/>
        <w:rPr>
          <w:sz w:val="20"/>
          <w:szCs w:val="20"/>
        </w:rPr>
      </w:pPr>
      <w:r w:rsidRPr="00483914">
        <w:rPr>
          <w:sz w:val="20"/>
          <w:szCs w:val="20"/>
        </w:rPr>
        <w:t>““When deciding whether it is necessary to make such an order for that purpose, the court must have regard to whether P would, at any time when such an order would be in force, be subject under any other enactment to any measures that would operate to protect the public from the risk of such harm.”</w:t>
      </w:r>
    </w:p>
    <w:p w14:paraId="20B195CB" w14:textId="77777777" w:rsidR="00AD75B4" w:rsidRPr="00483914" w:rsidRDefault="00AD75B4" w:rsidP="001565B2">
      <w:pPr>
        <w:pStyle w:val="ListParagraph"/>
        <w:rPr>
          <w:sz w:val="20"/>
          <w:szCs w:val="20"/>
        </w:rPr>
      </w:pPr>
    </w:p>
    <w:p w14:paraId="388895AA" w14:textId="77777777" w:rsidR="00F26DAE" w:rsidRPr="00483914" w:rsidRDefault="00AD75B4" w:rsidP="00F26DAE">
      <w:pPr>
        <w:pStyle w:val="ListParagraph"/>
      </w:pPr>
      <w:r w:rsidRPr="00483914">
        <w:t xml:space="preserve">In essence this means that if there is a lengthy extended sentence with </w:t>
      </w:r>
      <w:r w:rsidR="00067604" w:rsidRPr="00483914">
        <w:t xml:space="preserve">years of licence remaining, which will be stringently monitored by an offender manager, there will be no need for a VOO. </w:t>
      </w:r>
      <w:r w:rsidR="00D65FF7" w:rsidRPr="00483914">
        <w:t>Similarly,</w:t>
      </w:r>
      <w:r w:rsidR="00067604" w:rsidRPr="00483914">
        <w:t xml:space="preserve"> if there is another </w:t>
      </w:r>
      <w:r w:rsidR="00ED1487" w:rsidRPr="00483914">
        <w:t>ancillary order</w:t>
      </w:r>
      <w:r w:rsidR="00174386" w:rsidRPr="00483914">
        <w:t xml:space="preserve">, such a Criminal Behaviour Order, </w:t>
      </w:r>
      <w:r w:rsidR="00ED1487" w:rsidRPr="00483914">
        <w:t>or civil order</w:t>
      </w:r>
      <w:r w:rsidR="0021129C" w:rsidRPr="00483914">
        <w:t xml:space="preserve">. </w:t>
      </w:r>
    </w:p>
    <w:p w14:paraId="43F9E449" w14:textId="77777777" w:rsidR="00F26DAE" w:rsidRPr="00483914" w:rsidRDefault="00F26DAE" w:rsidP="00F26DAE">
      <w:pPr>
        <w:pStyle w:val="ListParagraph"/>
      </w:pPr>
    </w:p>
    <w:p w14:paraId="522D37DA" w14:textId="05D1A1E1" w:rsidR="00AD75B4" w:rsidRPr="00483914" w:rsidRDefault="0021129C" w:rsidP="00F26DAE">
      <w:pPr>
        <w:pStyle w:val="ListParagraph"/>
        <w:numPr>
          <w:ilvl w:val="0"/>
          <w:numId w:val="3"/>
        </w:numPr>
      </w:pPr>
      <w:r w:rsidRPr="00483914">
        <w:t xml:space="preserve">It </w:t>
      </w:r>
      <w:r w:rsidR="00FD35CC" w:rsidRPr="00483914">
        <w:t xml:space="preserve">will almost always be </w:t>
      </w:r>
      <w:r w:rsidR="00595ADC" w:rsidRPr="00483914">
        <w:t xml:space="preserve">unnecessary to apply for a VOO if licence conditions </w:t>
      </w:r>
      <w:r w:rsidR="00FD35CC" w:rsidRPr="00483914">
        <w:t xml:space="preserve">will be in place for some time. Sentencing judges who have an eye on dangerousness in the Crown Court will ensure that extended licence </w:t>
      </w:r>
      <w:r w:rsidR="007B5571" w:rsidRPr="00483914">
        <w:t xml:space="preserve">periods are imposed for offenders who pose a significant risk and require extended periods of supervision and management. In </w:t>
      </w:r>
      <w:r w:rsidR="00536F03" w:rsidRPr="00483914">
        <w:t>fact,</w:t>
      </w:r>
      <w:r w:rsidR="00D35136" w:rsidRPr="00483914">
        <w:t xml:space="preserve"> VOOs cannot be ordered to run alongside periods of licence following release from prison.</w:t>
      </w:r>
    </w:p>
    <w:p w14:paraId="484AB566" w14:textId="519F8B77" w:rsidR="00D35136" w:rsidRPr="00483914" w:rsidRDefault="00D35136" w:rsidP="0036142D">
      <w:pPr>
        <w:ind w:left="720"/>
      </w:pPr>
    </w:p>
    <w:p w14:paraId="1B6DB38C" w14:textId="73454458" w:rsidR="0036142D" w:rsidRPr="00483914" w:rsidRDefault="0036142D" w:rsidP="0036142D">
      <w:pPr>
        <w:ind w:left="720"/>
        <w:rPr>
          <w:sz w:val="20"/>
          <w:szCs w:val="20"/>
        </w:rPr>
      </w:pPr>
      <w:r w:rsidRPr="00483914">
        <w:rPr>
          <w:sz w:val="20"/>
          <w:szCs w:val="20"/>
        </w:rPr>
        <w:t>Section 101 (5) and 101 (6) the Act provides: -</w:t>
      </w:r>
    </w:p>
    <w:p w14:paraId="35B648A2" w14:textId="734F20D8" w:rsidR="0036142D" w:rsidRPr="00483914" w:rsidRDefault="0036142D" w:rsidP="0036142D">
      <w:pPr>
        <w:ind w:left="720"/>
        <w:rPr>
          <w:sz w:val="20"/>
          <w:szCs w:val="20"/>
        </w:rPr>
      </w:pPr>
      <w:r w:rsidRPr="00483914">
        <w:rPr>
          <w:sz w:val="20"/>
          <w:szCs w:val="20"/>
        </w:rPr>
        <w:t xml:space="preserve">(5)A violent offender order may not be made </w:t>
      </w:r>
      <w:proofErr w:type="gramStart"/>
      <w:r w:rsidRPr="00483914">
        <w:rPr>
          <w:sz w:val="20"/>
          <w:szCs w:val="20"/>
        </w:rPr>
        <w:t>so as to</w:t>
      </w:r>
      <w:proofErr w:type="gramEnd"/>
      <w:r w:rsidRPr="00483914">
        <w:rPr>
          <w:sz w:val="20"/>
          <w:szCs w:val="20"/>
        </w:rPr>
        <w:t xml:space="preserve"> come into force at any time when P—</w:t>
      </w:r>
    </w:p>
    <w:p w14:paraId="2D0D3D14" w14:textId="77777777" w:rsidR="0036142D" w:rsidRPr="0036142D" w:rsidRDefault="0036142D" w:rsidP="0036142D">
      <w:pPr>
        <w:ind w:left="720"/>
        <w:rPr>
          <w:sz w:val="20"/>
          <w:szCs w:val="20"/>
        </w:rPr>
      </w:pPr>
      <w:r w:rsidRPr="0036142D">
        <w:rPr>
          <w:sz w:val="20"/>
          <w:szCs w:val="20"/>
        </w:rPr>
        <w:t>(a)is subject to a custodial sentence imposed in respect of any offence,</w:t>
      </w:r>
    </w:p>
    <w:p w14:paraId="6FECF404" w14:textId="77777777" w:rsidR="0036142D" w:rsidRPr="0036142D" w:rsidRDefault="0036142D" w:rsidP="0036142D">
      <w:pPr>
        <w:ind w:left="720"/>
        <w:rPr>
          <w:sz w:val="20"/>
          <w:szCs w:val="20"/>
        </w:rPr>
      </w:pPr>
      <w:r w:rsidRPr="0036142D">
        <w:rPr>
          <w:sz w:val="20"/>
          <w:szCs w:val="20"/>
        </w:rPr>
        <w:t xml:space="preserve">(b)is </w:t>
      </w:r>
      <w:r w:rsidRPr="0036142D">
        <w:rPr>
          <w:i/>
          <w:iCs/>
          <w:sz w:val="20"/>
          <w:szCs w:val="20"/>
        </w:rPr>
        <w:t xml:space="preserve">on licence </w:t>
      </w:r>
      <w:r w:rsidRPr="0036142D">
        <w:rPr>
          <w:sz w:val="20"/>
          <w:szCs w:val="20"/>
        </w:rPr>
        <w:t>for part of the term of such a sentence, or</w:t>
      </w:r>
    </w:p>
    <w:p w14:paraId="705A2FCB" w14:textId="77777777" w:rsidR="0036142D" w:rsidRPr="0036142D" w:rsidRDefault="0036142D" w:rsidP="0036142D">
      <w:pPr>
        <w:ind w:left="720"/>
        <w:rPr>
          <w:sz w:val="20"/>
          <w:szCs w:val="20"/>
        </w:rPr>
      </w:pPr>
      <w:r w:rsidRPr="0036142D">
        <w:rPr>
          <w:sz w:val="20"/>
          <w:szCs w:val="20"/>
        </w:rPr>
        <w:t>(c)is subject to a hospital order or a supervision order made in respect of any offence.</w:t>
      </w:r>
    </w:p>
    <w:p w14:paraId="4EE85FC7" w14:textId="77777777" w:rsidR="0036142D" w:rsidRPr="00483914" w:rsidRDefault="0036142D" w:rsidP="0036142D">
      <w:pPr>
        <w:ind w:left="720"/>
        <w:rPr>
          <w:sz w:val="20"/>
          <w:szCs w:val="20"/>
        </w:rPr>
      </w:pPr>
      <w:r w:rsidRPr="0036142D">
        <w:rPr>
          <w:sz w:val="20"/>
          <w:szCs w:val="20"/>
        </w:rPr>
        <w:t>(</w:t>
      </w:r>
      <w:proofErr w:type="gramStart"/>
      <w:r w:rsidRPr="0036142D">
        <w:rPr>
          <w:sz w:val="20"/>
          <w:szCs w:val="20"/>
        </w:rPr>
        <w:t>6)But</w:t>
      </w:r>
      <w:proofErr w:type="gramEnd"/>
      <w:r w:rsidRPr="0036142D">
        <w:rPr>
          <w:sz w:val="20"/>
          <w:szCs w:val="20"/>
        </w:rPr>
        <w:t xml:space="preserve"> such an order may be applied for, and made, at such a time.</w:t>
      </w:r>
    </w:p>
    <w:p w14:paraId="5CE460C4" w14:textId="77777777" w:rsidR="00EF45A1" w:rsidRPr="00483914" w:rsidRDefault="00EF45A1" w:rsidP="0036142D">
      <w:pPr>
        <w:ind w:left="720"/>
      </w:pPr>
    </w:p>
    <w:p w14:paraId="7792B612" w14:textId="2978A961" w:rsidR="004579E8" w:rsidRPr="00483914" w:rsidRDefault="00EF45A1" w:rsidP="00F1110C">
      <w:pPr>
        <w:ind w:left="720"/>
      </w:pPr>
      <w:proofErr w:type="gramStart"/>
      <w:r w:rsidRPr="00483914">
        <w:lastRenderedPageBreak/>
        <w:t>Therefore</w:t>
      </w:r>
      <w:proofErr w:type="gramEnd"/>
      <w:r w:rsidRPr="00483914">
        <w:t xml:space="preserve"> if a licence is about to expire and the sentence expiry </w:t>
      </w:r>
      <w:r w:rsidR="008F2215" w:rsidRPr="00483914">
        <w:t xml:space="preserve">date is approaching, such as in the recent Gloucestershire case of </w:t>
      </w:r>
      <w:r w:rsidR="008F2215" w:rsidRPr="00483914">
        <w:rPr>
          <w:i/>
          <w:iCs/>
        </w:rPr>
        <w:t xml:space="preserve">re </w:t>
      </w:r>
      <w:r w:rsidR="004151D5" w:rsidRPr="00483914">
        <w:rPr>
          <w:i/>
          <w:iCs/>
        </w:rPr>
        <w:t xml:space="preserve">LW </w:t>
      </w:r>
      <w:r w:rsidR="004151D5" w:rsidRPr="00483914">
        <w:t>where</w:t>
      </w:r>
      <w:r w:rsidR="008F2215" w:rsidRPr="00483914">
        <w:t xml:space="preserve"> the offender had been recalled and was due to be released on licence in </w:t>
      </w:r>
      <w:r w:rsidR="00FD19F8" w:rsidRPr="00483914">
        <w:t xml:space="preserve">a week. It is prudent to set up the VOO application in the weeks leading up to release, in accordance with section 101 (6) and the court should ensure that the </w:t>
      </w:r>
      <w:r w:rsidR="00F1110C" w:rsidRPr="00483914">
        <w:t>VOO does not take effect until the licence has expired.</w:t>
      </w:r>
    </w:p>
    <w:p w14:paraId="086D66C6" w14:textId="77777777" w:rsidR="004579E8" w:rsidRPr="00483914" w:rsidRDefault="004579E8" w:rsidP="004579E8"/>
    <w:p w14:paraId="59007ED6" w14:textId="7B2FD84C" w:rsidR="001E7062" w:rsidRPr="00483914" w:rsidRDefault="001E7062" w:rsidP="001E7062">
      <w:pPr>
        <w:ind w:left="360"/>
        <w:rPr>
          <w:color w:val="002060"/>
          <w:sz w:val="28"/>
          <w:szCs w:val="28"/>
        </w:rPr>
      </w:pPr>
      <w:r w:rsidRPr="00483914">
        <w:rPr>
          <w:b/>
          <w:bCs/>
          <w:color w:val="002060"/>
          <w:sz w:val="28"/>
          <w:szCs w:val="28"/>
        </w:rPr>
        <w:t xml:space="preserve">The </w:t>
      </w:r>
      <w:r w:rsidR="004579E8" w:rsidRPr="00483914">
        <w:rPr>
          <w:b/>
          <w:bCs/>
          <w:color w:val="002060"/>
          <w:sz w:val="28"/>
          <w:szCs w:val="28"/>
        </w:rPr>
        <w:t>test for making a VOO</w:t>
      </w:r>
    </w:p>
    <w:p w14:paraId="212CC9FF" w14:textId="77777777" w:rsidR="001E7062" w:rsidRPr="00483914" w:rsidRDefault="007B1F60" w:rsidP="007B1F60">
      <w:pPr>
        <w:pStyle w:val="ListParagraph"/>
        <w:numPr>
          <w:ilvl w:val="0"/>
          <w:numId w:val="3"/>
        </w:numPr>
      </w:pPr>
      <w:r w:rsidRPr="00483914">
        <w:t xml:space="preserve">What are the conditions for </w:t>
      </w:r>
      <w:r w:rsidR="001E7062" w:rsidRPr="00483914">
        <w:t>making a VOO?</w:t>
      </w:r>
    </w:p>
    <w:p w14:paraId="32508F9D" w14:textId="6231081B" w:rsidR="00B844E0" w:rsidRPr="00483914" w:rsidRDefault="00B844E0" w:rsidP="00B844E0">
      <w:pPr>
        <w:pStyle w:val="ListParagraph"/>
      </w:pPr>
      <w:r w:rsidRPr="00483914">
        <w:t xml:space="preserve">section 100 (2) of the </w:t>
      </w:r>
      <w:r w:rsidR="004151D5" w:rsidRPr="00483914">
        <w:t>Act states</w:t>
      </w:r>
      <w:r w:rsidR="00E57C32" w:rsidRPr="00483914">
        <w:t xml:space="preserve"> that an Order can be made </w:t>
      </w:r>
    </w:p>
    <w:p w14:paraId="57A24EEE" w14:textId="77777777" w:rsidR="00B844E0" w:rsidRPr="00483914" w:rsidRDefault="00B844E0" w:rsidP="00B844E0">
      <w:pPr>
        <w:pStyle w:val="ListParagraph"/>
      </w:pPr>
      <w:r w:rsidRPr="00483914">
        <w:t>The conditions are—</w:t>
      </w:r>
    </w:p>
    <w:p w14:paraId="08BAD296" w14:textId="77777777" w:rsidR="00B844E0" w:rsidRPr="00483914" w:rsidRDefault="00B844E0" w:rsidP="00B844E0">
      <w:pPr>
        <w:pStyle w:val="ListParagraph"/>
      </w:pPr>
    </w:p>
    <w:p w14:paraId="022D7AF8" w14:textId="35D53F81" w:rsidR="00B844E0" w:rsidRPr="00483914" w:rsidRDefault="00F1110C" w:rsidP="00B844E0">
      <w:pPr>
        <w:pStyle w:val="ListParagraph"/>
        <w:rPr>
          <w:sz w:val="20"/>
          <w:szCs w:val="20"/>
        </w:rPr>
      </w:pPr>
      <w:r w:rsidRPr="00483914">
        <w:rPr>
          <w:sz w:val="20"/>
          <w:szCs w:val="20"/>
        </w:rPr>
        <w:t>“</w:t>
      </w:r>
      <w:r w:rsidR="00B844E0" w:rsidRPr="00483914">
        <w:rPr>
          <w:sz w:val="20"/>
          <w:szCs w:val="20"/>
        </w:rPr>
        <w:t>(a)that the person is a qualifying offender, and</w:t>
      </w:r>
    </w:p>
    <w:p w14:paraId="25D33198" w14:textId="77777777" w:rsidR="00B844E0" w:rsidRPr="00483914" w:rsidRDefault="00B844E0" w:rsidP="00B844E0">
      <w:pPr>
        <w:pStyle w:val="ListParagraph"/>
        <w:rPr>
          <w:sz w:val="20"/>
          <w:szCs w:val="20"/>
        </w:rPr>
      </w:pPr>
    </w:p>
    <w:p w14:paraId="60D275E2" w14:textId="2D3F9D12" w:rsidR="001E7062" w:rsidRPr="00483914" w:rsidRDefault="00B844E0" w:rsidP="00B844E0">
      <w:pPr>
        <w:pStyle w:val="ListParagraph"/>
        <w:rPr>
          <w:sz w:val="20"/>
          <w:szCs w:val="20"/>
        </w:rPr>
      </w:pPr>
      <w:r w:rsidRPr="00483914">
        <w:rPr>
          <w:sz w:val="20"/>
          <w:szCs w:val="20"/>
        </w:rPr>
        <w:t xml:space="preserve">(b)that the person has, since the appropriate date, </w:t>
      </w:r>
      <w:r w:rsidRPr="00483914">
        <w:rPr>
          <w:b/>
          <w:bCs/>
          <w:sz w:val="20"/>
          <w:szCs w:val="20"/>
        </w:rPr>
        <w:t>acted in such a way as to give reasonable cause to believe that it is necessary for a violent offender order to be made</w:t>
      </w:r>
      <w:r w:rsidRPr="00483914">
        <w:rPr>
          <w:sz w:val="20"/>
          <w:szCs w:val="20"/>
        </w:rPr>
        <w:t xml:space="preserve"> in respect of the person.</w:t>
      </w:r>
      <w:r w:rsidR="00F1110C" w:rsidRPr="00483914">
        <w:rPr>
          <w:sz w:val="20"/>
          <w:szCs w:val="20"/>
        </w:rPr>
        <w:t>”</w:t>
      </w:r>
    </w:p>
    <w:p w14:paraId="6639DD9F" w14:textId="24EAB5C9" w:rsidR="009C71BD" w:rsidRPr="00483914" w:rsidRDefault="007B1F60" w:rsidP="00323BC0">
      <w:pPr>
        <w:ind w:left="360"/>
      </w:pPr>
      <w:r w:rsidRPr="00483914">
        <w:t xml:space="preserve"> </w:t>
      </w:r>
      <w:r w:rsidR="009C71BD" w:rsidRPr="00483914">
        <w:tab/>
      </w:r>
    </w:p>
    <w:p w14:paraId="62E2CA72" w14:textId="0E3712A8" w:rsidR="00F5444F" w:rsidRPr="00483914" w:rsidRDefault="00323BC0" w:rsidP="00F5444F">
      <w:pPr>
        <w:pStyle w:val="ListParagraph"/>
        <w:numPr>
          <w:ilvl w:val="0"/>
          <w:numId w:val="3"/>
        </w:numPr>
      </w:pPr>
      <w:r w:rsidRPr="00483914">
        <w:t xml:space="preserve">The “qualifying offender” provision is satisfied if the offender has been </w:t>
      </w:r>
      <w:r w:rsidR="000E178E" w:rsidRPr="00483914">
        <w:t>convicted of a specified offence and</w:t>
      </w:r>
      <w:r w:rsidR="001208CA" w:rsidRPr="00483914">
        <w:t xml:space="preserve"> either the offender received a custodial sentence of at least 12 months or a hospital order – see section 99 (2). It is back to the Schedule I’m afraid but by now practitioners should be alive to the usual </w:t>
      </w:r>
      <w:r w:rsidR="003075F6" w:rsidRPr="00483914">
        <w:t xml:space="preserve">specified offences </w:t>
      </w:r>
      <w:r w:rsidR="00496A0E" w:rsidRPr="00483914">
        <w:t xml:space="preserve">such as section 18 </w:t>
      </w:r>
      <w:r w:rsidR="00980606" w:rsidRPr="00483914">
        <w:t>wounding</w:t>
      </w:r>
      <w:r w:rsidR="00496A0E" w:rsidRPr="00483914">
        <w:t xml:space="preserve"> </w:t>
      </w:r>
      <w:r w:rsidR="00980606" w:rsidRPr="00483914">
        <w:t>with</w:t>
      </w:r>
      <w:r w:rsidR="00496A0E" w:rsidRPr="00483914">
        <w:t xml:space="preserve"> inten</w:t>
      </w:r>
      <w:r w:rsidR="00980606" w:rsidRPr="00483914">
        <w:t xml:space="preserve">t, although offences of less serious violence </w:t>
      </w:r>
      <w:r w:rsidR="00DB14D4" w:rsidRPr="00483914">
        <w:t>and public order offences may trigger eligibility.</w:t>
      </w:r>
    </w:p>
    <w:p w14:paraId="5988636B" w14:textId="77777777" w:rsidR="00F5444F" w:rsidRPr="00483914" w:rsidRDefault="00F5444F" w:rsidP="00F5444F">
      <w:pPr>
        <w:pStyle w:val="ListParagraph"/>
      </w:pPr>
    </w:p>
    <w:p w14:paraId="589DF865" w14:textId="0E691C6D" w:rsidR="00F5444F" w:rsidRDefault="00F5444F" w:rsidP="00F5444F">
      <w:pPr>
        <w:pStyle w:val="ListParagraph"/>
        <w:numPr>
          <w:ilvl w:val="0"/>
          <w:numId w:val="3"/>
        </w:numPr>
      </w:pPr>
      <w:r w:rsidRPr="00483914">
        <w:t>The</w:t>
      </w:r>
      <w:r w:rsidR="00D337D8" w:rsidRPr="00483914">
        <w:t xml:space="preserve"> civil standard applies: The</w:t>
      </w:r>
      <w:r w:rsidRPr="00483914">
        <w:t xml:space="preserve"> </w:t>
      </w:r>
      <w:r w:rsidR="009D35D1">
        <w:t>Applicant</w:t>
      </w:r>
      <w:r w:rsidRPr="00483914">
        <w:t xml:space="preserve"> must prove that the offender has behaved in a </w:t>
      </w:r>
      <w:r w:rsidR="00C74E1B" w:rsidRPr="00483914">
        <w:t xml:space="preserve">certain way </w:t>
      </w:r>
      <w:r w:rsidR="007C1101" w:rsidRPr="00483914">
        <w:t xml:space="preserve">– proof of acts - </w:t>
      </w:r>
      <w:r w:rsidR="00C74E1B" w:rsidRPr="00483914">
        <w:t xml:space="preserve">to give rise to the necessity of making a protective order. The proof of past behaviour </w:t>
      </w:r>
      <w:r w:rsidR="00D337D8" w:rsidRPr="00483914">
        <w:t xml:space="preserve">(giving rise to future risk) </w:t>
      </w:r>
      <w:r w:rsidR="00C74E1B" w:rsidRPr="00483914">
        <w:t xml:space="preserve">only needs to be proved on the balance of </w:t>
      </w:r>
      <w:r w:rsidR="007C1101" w:rsidRPr="00483914">
        <w:t xml:space="preserve">probabilities. Hearsay is admissible and </w:t>
      </w:r>
      <w:r w:rsidR="00EF1DD7" w:rsidRPr="00483914">
        <w:t xml:space="preserve">the court is entitled to assess the weight. If the </w:t>
      </w:r>
      <w:r w:rsidR="009D35D1">
        <w:t>Applicant</w:t>
      </w:r>
      <w:r w:rsidR="00EF1DD7" w:rsidRPr="00483914">
        <w:t xml:space="preserve"> can set out persuasive evidence which sets out a pattern</w:t>
      </w:r>
      <w:r w:rsidR="00A254FB" w:rsidRPr="00483914">
        <w:t xml:space="preserve"> </w:t>
      </w:r>
      <w:r w:rsidR="00EF1DD7" w:rsidRPr="00483914">
        <w:t>of violent offending, including proof of criminal convictions for violence and some uncontroversial basic facts, proof that t</w:t>
      </w:r>
      <w:r w:rsidR="00A254FB" w:rsidRPr="00483914">
        <w:t>he offender “acted in such a way” alleged is likely to be established.</w:t>
      </w:r>
    </w:p>
    <w:p w14:paraId="04C8661B" w14:textId="77777777" w:rsidR="003947F7" w:rsidRDefault="003947F7" w:rsidP="003947F7">
      <w:pPr>
        <w:pStyle w:val="ListParagraph"/>
      </w:pPr>
    </w:p>
    <w:p w14:paraId="3FC85DEF" w14:textId="57494A72" w:rsidR="003947F7" w:rsidRPr="00483914" w:rsidRDefault="003947F7" w:rsidP="00F5444F">
      <w:pPr>
        <w:pStyle w:val="ListParagraph"/>
        <w:numPr>
          <w:ilvl w:val="0"/>
          <w:numId w:val="3"/>
        </w:numPr>
      </w:pPr>
      <w:r>
        <w:t>Section 104 of the Act deals with Interim VOOs. The same principles apply.</w:t>
      </w:r>
    </w:p>
    <w:p w14:paraId="44163E62" w14:textId="77777777" w:rsidR="00D337D8" w:rsidRDefault="00D337D8" w:rsidP="00483914">
      <w:pPr>
        <w:ind w:left="360"/>
      </w:pPr>
    </w:p>
    <w:p w14:paraId="3E4307C0" w14:textId="77777777" w:rsidR="00D30E98" w:rsidRDefault="00D30E98" w:rsidP="00483914">
      <w:pPr>
        <w:ind w:left="360"/>
        <w:rPr>
          <w:b/>
          <w:bCs/>
          <w:color w:val="002060"/>
          <w:sz w:val="28"/>
          <w:szCs w:val="28"/>
        </w:rPr>
      </w:pPr>
    </w:p>
    <w:p w14:paraId="27AEE0D5" w14:textId="7D8A5099" w:rsidR="00483914" w:rsidRPr="00483914" w:rsidRDefault="00483914" w:rsidP="00483914">
      <w:pPr>
        <w:ind w:left="360"/>
        <w:rPr>
          <w:b/>
          <w:bCs/>
          <w:color w:val="002060"/>
          <w:sz w:val="28"/>
          <w:szCs w:val="28"/>
        </w:rPr>
      </w:pPr>
      <w:r w:rsidRPr="00483914">
        <w:rPr>
          <w:b/>
          <w:bCs/>
          <w:color w:val="002060"/>
          <w:sz w:val="28"/>
          <w:szCs w:val="28"/>
        </w:rPr>
        <w:lastRenderedPageBreak/>
        <w:t>The Battleground</w:t>
      </w:r>
    </w:p>
    <w:p w14:paraId="6A43BF7E" w14:textId="56A9BF5B" w:rsidR="00D337D8" w:rsidRPr="00483914" w:rsidRDefault="00D337D8" w:rsidP="00F5444F">
      <w:pPr>
        <w:pStyle w:val="ListParagraph"/>
        <w:numPr>
          <w:ilvl w:val="0"/>
          <w:numId w:val="3"/>
        </w:numPr>
      </w:pPr>
      <w:r w:rsidRPr="00483914">
        <w:t xml:space="preserve">The real battleground for practitioners </w:t>
      </w:r>
      <w:r w:rsidR="00536F03">
        <w:t xml:space="preserve">is likely to be </w:t>
      </w:r>
      <w:r w:rsidRPr="00483914">
        <w:t>necessity and proportionality</w:t>
      </w:r>
    </w:p>
    <w:p w14:paraId="6097A44E" w14:textId="77777777" w:rsidR="00D337D8" w:rsidRPr="00483914" w:rsidRDefault="00D337D8" w:rsidP="00D337D8">
      <w:pPr>
        <w:pStyle w:val="ListParagraph"/>
      </w:pPr>
    </w:p>
    <w:p w14:paraId="6E0F6B63" w14:textId="61559544" w:rsidR="00D337D8" w:rsidRPr="00483914" w:rsidRDefault="00D337D8" w:rsidP="00D337D8">
      <w:pPr>
        <w:pStyle w:val="ListParagraph"/>
        <w:numPr>
          <w:ilvl w:val="1"/>
          <w:numId w:val="3"/>
        </w:numPr>
      </w:pPr>
      <w:r w:rsidRPr="00483914">
        <w:t>Is it necessary to make the VOO in the first place?</w:t>
      </w:r>
    </w:p>
    <w:p w14:paraId="21EB7789" w14:textId="272CBEFB" w:rsidR="00D337D8" w:rsidRPr="00483914" w:rsidRDefault="00D337D8" w:rsidP="00D337D8">
      <w:pPr>
        <w:pStyle w:val="ListParagraph"/>
        <w:numPr>
          <w:ilvl w:val="1"/>
          <w:numId w:val="3"/>
        </w:numPr>
      </w:pPr>
      <w:r w:rsidRPr="00483914">
        <w:t>Is it proportionate to impose the terms sought or the duration requested.</w:t>
      </w:r>
    </w:p>
    <w:p w14:paraId="4136B393" w14:textId="77777777" w:rsidR="00D337D8" w:rsidRPr="00483914" w:rsidRDefault="00D337D8" w:rsidP="00D337D8">
      <w:pPr>
        <w:pStyle w:val="ListParagraph"/>
        <w:ind w:left="1440"/>
      </w:pPr>
    </w:p>
    <w:p w14:paraId="018639A1" w14:textId="4C034296" w:rsidR="00D337D8" w:rsidRPr="00483914" w:rsidRDefault="00D337D8" w:rsidP="00D337D8">
      <w:pPr>
        <w:pStyle w:val="ListParagraph"/>
        <w:numPr>
          <w:ilvl w:val="0"/>
          <w:numId w:val="3"/>
        </w:numPr>
      </w:pPr>
      <w:r w:rsidRPr="00483914">
        <w:t>The min</w:t>
      </w:r>
      <w:r w:rsidR="00CB53F6" w:rsidRPr="00483914">
        <w:t xml:space="preserve">imum period for a VOO is 2 years and the maximum is 5 years. </w:t>
      </w:r>
      <w:r w:rsidR="00170B4D" w:rsidRPr="00483914">
        <w:t xml:space="preserve">The Order can be varied upon application and the Court may </w:t>
      </w:r>
      <w:r w:rsidR="001E4DE3" w:rsidRPr="00483914">
        <w:t>vary a VOO by imposing more stringent conditions</w:t>
      </w:r>
      <w:r w:rsidR="00536F03">
        <w:t xml:space="preserve">, per </w:t>
      </w:r>
      <w:r w:rsidR="00AB7833">
        <w:t>section 103 (5) of the Act.</w:t>
      </w:r>
    </w:p>
    <w:p w14:paraId="2888E9D9" w14:textId="48D14451" w:rsidR="00323BC0" w:rsidRPr="00483914" w:rsidRDefault="00496A0E" w:rsidP="00DB14D4">
      <w:pPr>
        <w:pStyle w:val="ListParagraph"/>
      </w:pPr>
      <w:r w:rsidRPr="00483914">
        <w:t xml:space="preserve"> </w:t>
      </w:r>
    </w:p>
    <w:p w14:paraId="16F81B28" w14:textId="029CD0FD" w:rsidR="00BC6D0A" w:rsidRPr="00483914" w:rsidRDefault="001E4DE3" w:rsidP="00BC6D0A">
      <w:pPr>
        <w:pStyle w:val="ListParagraph"/>
        <w:numPr>
          <w:ilvl w:val="0"/>
          <w:numId w:val="3"/>
        </w:numPr>
      </w:pPr>
      <w:r w:rsidRPr="00483914">
        <w:t xml:space="preserve">Proportionate terms and the balancing of rights: The </w:t>
      </w:r>
      <w:r w:rsidR="00FB4B6C" w:rsidRPr="00483914">
        <w:t xml:space="preserve">term “rights” is often used loosely. The ECHR sets out examples of “rights”. Many </w:t>
      </w:r>
      <w:r w:rsidR="00FE4250" w:rsidRPr="00483914">
        <w:t>“</w:t>
      </w:r>
      <w:r w:rsidR="00FB4B6C" w:rsidRPr="00483914">
        <w:t>rights</w:t>
      </w:r>
      <w:r w:rsidR="00FE4250" w:rsidRPr="00483914">
        <w:t>”, when properly analysed,</w:t>
      </w:r>
      <w:r w:rsidR="00FB4B6C" w:rsidRPr="00483914">
        <w:t xml:space="preserve"> are simply privileges</w:t>
      </w:r>
      <w:r w:rsidR="00FE4250" w:rsidRPr="00483914">
        <w:t xml:space="preserve">. </w:t>
      </w:r>
      <w:r w:rsidR="00AB7833">
        <w:t xml:space="preserve"> A</w:t>
      </w:r>
      <w:r w:rsidR="00FE4250" w:rsidRPr="00483914">
        <w:t xml:space="preserve"> "right" is a fundamental, inherent entitlement, wh</w:t>
      </w:r>
      <w:r w:rsidR="00E70CF6">
        <w:t>ereas</w:t>
      </w:r>
      <w:r w:rsidR="00FE4250" w:rsidRPr="00483914">
        <w:t xml:space="preserve"> a "privilege" is a special advantage or benefit, often granted or available to a specific group or individual. One example of this in the context of public safety is the notion of the </w:t>
      </w:r>
      <w:r w:rsidR="00FB4B6C" w:rsidRPr="00483914">
        <w:t>“right” to have a firearm</w:t>
      </w:r>
      <w:r w:rsidR="00FE4250" w:rsidRPr="00483914">
        <w:t>. In the UK we regard this is as a privilege</w:t>
      </w:r>
      <w:r w:rsidR="00FB4B6C" w:rsidRPr="00483914">
        <w:t xml:space="preserve"> although </w:t>
      </w:r>
      <w:r w:rsidR="00FE4250" w:rsidRPr="00483914">
        <w:t xml:space="preserve">a </w:t>
      </w:r>
      <w:r w:rsidR="00184C68" w:rsidRPr="00483914">
        <w:t>transatlantic journey may find</w:t>
      </w:r>
      <w:r w:rsidR="00E70CF6">
        <w:t xml:space="preserve"> a</w:t>
      </w:r>
      <w:r w:rsidR="00184C68" w:rsidRPr="00483914">
        <w:t xml:space="preserve"> popular opinion that </w:t>
      </w:r>
      <w:r w:rsidR="00E70CF6">
        <w:t xml:space="preserve">the </w:t>
      </w:r>
      <w:r w:rsidR="00B76D9A" w:rsidRPr="00483914">
        <w:t xml:space="preserve">possession of a firearm or </w:t>
      </w:r>
      <w:r w:rsidR="00184C68" w:rsidRPr="00483914">
        <w:t xml:space="preserve">the entitlement to </w:t>
      </w:r>
      <w:r w:rsidR="00B76D9A" w:rsidRPr="00483914">
        <w:t xml:space="preserve">bear arms is an </w:t>
      </w:r>
      <w:r w:rsidR="0051290E" w:rsidRPr="00483914">
        <w:t>i</w:t>
      </w:r>
      <w:r w:rsidR="00B76D9A" w:rsidRPr="00483914">
        <w:t>nalienable right.</w:t>
      </w:r>
      <w:r w:rsidR="00932301" w:rsidRPr="00483914">
        <w:t xml:space="preserve"> </w:t>
      </w:r>
    </w:p>
    <w:p w14:paraId="47369A08" w14:textId="77777777" w:rsidR="00BC6D0A" w:rsidRPr="00483914" w:rsidRDefault="00BC6D0A" w:rsidP="00BC6D0A">
      <w:pPr>
        <w:pStyle w:val="ListParagraph"/>
      </w:pPr>
    </w:p>
    <w:p w14:paraId="47680152" w14:textId="0D9CF7CF" w:rsidR="00CE7059" w:rsidRPr="00483914" w:rsidRDefault="00932301" w:rsidP="00BC6D0A">
      <w:pPr>
        <w:pStyle w:val="ListParagraph"/>
        <w:numPr>
          <w:ilvl w:val="0"/>
          <w:numId w:val="3"/>
        </w:numPr>
      </w:pPr>
      <w:r w:rsidRPr="00483914">
        <w:t>Our</w:t>
      </w:r>
      <w:r w:rsidR="00B76D9A" w:rsidRPr="00483914">
        <w:t xml:space="preserve"> jurisprudence </w:t>
      </w:r>
      <w:r w:rsidRPr="00483914">
        <w:t>recognises that “</w:t>
      </w:r>
      <w:r w:rsidR="00AE17D6" w:rsidRPr="00483914">
        <w:t>everyone’s right to life shall be protected by the law”</w:t>
      </w:r>
      <w:r w:rsidR="00AE04CB" w:rsidRPr="00483914">
        <w:t xml:space="preserve"> – see article 2 of the ECHR</w:t>
      </w:r>
      <w:r w:rsidR="00AE17D6" w:rsidRPr="00483914">
        <w:t>. This is arguably of greater importance than the right to carry a weapon or even keep a dangerous weapon at home.</w:t>
      </w:r>
      <w:r w:rsidR="00AE04CB" w:rsidRPr="00483914">
        <w:t xml:space="preserve"> However, this does </w:t>
      </w:r>
      <w:r w:rsidR="00BC6D0A" w:rsidRPr="00483914">
        <w:t xml:space="preserve">not mean that </w:t>
      </w:r>
      <w:r w:rsidR="005C578B">
        <w:t>the</w:t>
      </w:r>
      <w:r w:rsidR="00BC6D0A" w:rsidRPr="00483914">
        <w:t xml:space="preserve"> rights of people to enjoy their private life and</w:t>
      </w:r>
      <w:r w:rsidR="00FC0A84" w:rsidRPr="00483914">
        <w:t xml:space="preserve"> some of the freedoms we all enjoy, such as freedom of association and expression should be unduly curtailed. In the </w:t>
      </w:r>
      <w:r w:rsidR="00D969CD" w:rsidRPr="00483914">
        <w:t xml:space="preserve">recent VOO obtained by Gloucestershire Constabulary </w:t>
      </w:r>
      <w:r w:rsidR="00D10DAD" w:rsidRPr="00483914">
        <w:t xml:space="preserve">in </w:t>
      </w:r>
      <w:r w:rsidR="00483914" w:rsidRPr="00483914">
        <w:rPr>
          <w:i/>
          <w:iCs/>
        </w:rPr>
        <w:t xml:space="preserve">LW, </w:t>
      </w:r>
      <w:r w:rsidR="00483914" w:rsidRPr="00483914">
        <w:t>the</w:t>
      </w:r>
      <w:r w:rsidR="00D10DAD" w:rsidRPr="00483914">
        <w:t xml:space="preserve"> </w:t>
      </w:r>
      <w:r w:rsidR="009D35D1">
        <w:t>Applicant</w:t>
      </w:r>
      <w:r w:rsidR="0070579F" w:rsidRPr="00483914">
        <w:t xml:space="preserve"> did not pursue a non-contact prohibition in relation to the female partner of the offender</w:t>
      </w:r>
      <w:r w:rsidR="00AB2CEC" w:rsidRPr="00483914">
        <w:t xml:space="preserve">. LW was an undoubtedly violent woman who had committed a series of </w:t>
      </w:r>
      <w:r w:rsidR="00337882" w:rsidRPr="00483914">
        <w:t xml:space="preserve">brutal attacks. Although there was </w:t>
      </w:r>
      <w:r w:rsidR="00AB2CEC" w:rsidRPr="00483914">
        <w:t xml:space="preserve">evidence of volatility </w:t>
      </w:r>
      <w:r w:rsidR="00337882" w:rsidRPr="00483914">
        <w:t xml:space="preserve">and even violence in the </w:t>
      </w:r>
      <w:r w:rsidR="00AB2CEC" w:rsidRPr="00483914">
        <w:t>relationship</w:t>
      </w:r>
      <w:r w:rsidR="00337882" w:rsidRPr="00483914">
        <w:t xml:space="preserve"> between LW and her new partner, it </w:t>
      </w:r>
      <w:r w:rsidR="00483914" w:rsidRPr="00483914">
        <w:t>was not</w:t>
      </w:r>
      <w:r w:rsidR="00337882" w:rsidRPr="00483914">
        <w:t xml:space="preserve"> proportionate to</w:t>
      </w:r>
      <w:r w:rsidR="00217E2F" w:rsidRPr="00483914">
        <w:t xml:space="preserve"> </w:t>
      </w:r>
      <w:r w:rsidR="005C578B" w:rsidRPr="00483914">
        <w:t>impose a</w:t>
      </w:r>
      <w:r w:rsidR="007B1694" w:rsidRPr="00483914">
        <w:t xml:space="preserve"> prohibitive non-contact condition in relation to the partner she intended to marry</w:t>
      </w:r>
      <w:r w:rsidR="00591CC5" w:rsidRPr="00483914">
        <w:t>. Such a prohibition would</w:t>
      </w:r>
      <w:r w:rsidR="00337882" w:rsidRPr="00483914">
        <w:t xml:space="preserve"> interfere with </w:t>
      </w:r>
      <w:r w:rsidR="00483914" w:rsidRPr="00483914">
        <w:t>offender’s “</w:t>
      </w:r>
      <w:r w:rsidR="00591CC5" w:rsidRPr="00483914">
        <w:t xml:space="preserve">right to respect for her family life”, because the offender’s partner (and potential victim) also confirmed to the Police </w:t>
      </w:r>
      <w:r w:rsidR="004520F9" w:rsidRPr="00483914">
        <w:t>shortly</w:t>
      </w:r>
      <w:r w:rsidR="00591CC5" w:rsidRPr="00483914">
        <w:t xml:space="preserve"> before the application for the VOO that </w:t>
      </w:r>
      <w:r w:rsidR="004520F9" w:rsidRPr="00483914">
        <w:t>the</w:t>
      </w:r>
      <w:r w:rsidR="00591CC5" w:rsidRPr="00483914">
        <w:t xml:space="preserve"> relationship difficulties were </w:t>
      </w:r>
      <w:r w:rsidR="00483914" w:rsidRPr="00483914">
        <w:t>very</w:t>
      </w:r>
      <w:r w:rsidR="004520F9" w:rsidRPr="00483914">
        <w:t xml:space="preserve"> much in the past and they were committed to starting a life together and were engaged. If evidence had been </w:t>
      </w:r>
      <w:r w:rsidR="00483914" w:rsidRPr="00483914">
        <w:t>obtained</w:t>
      </w:r>
      <w:r w:rsidR="004520F9" w:rsidRPr="00483914">
        <w:t xml:space="preserve"> that the existing partner had informed the police that she was very much in fear and would require the protection of VOO, a prohibitive non-contact requirement may have been sought. </w:t>
      </w:r>
      <w:r w:rsidR="00CE7059" w:rsidRPr="00483914">
        <w:t xml:space="preserve"> </w:t>
      </w:r>
    </w:p>
    <w:p w14:paraId="47CFE74C" w14:textId="77777777" w:rsidR="00CE7059" w:rsidRPr="00483914" w:rsidRDefault="00CE7059" w:rsidP="00CE7059">
      <w:pPr>
        <w:pStyle w:val="ListParagraph"/>
      </w:pPr>
    </w:p>
    <w:p w14:paraId="157ED655" w14:textId="12BCC4BF" w:rsidR="00B66BDD" w:rsidRPr="00483914" w:rsidRDefault="00CE7059" w:rsidP="00BC6D0A">
      <w:pPr>
        <w:pStyle w:val="ListParagraph"/>
        <w:numPr>
          <w:ilvl w:val="0"/>
          <w:numId w:val="3"/>
        </w:numPr>
      </w:pPr>
      <w:r w:rsidRPr="00483914">
        <w:lastRenderedPageBreak/>
        <w:t xml:space="preserve">The </w:t>
      </w:r>
      <w:r w:rsidR="009D35D1">
        <w:t>Applicant</w:t>
      </w:r>
      <w:r w:rsidRPr="00483914">
        <w:t xml:space="preserve"> did not seek such a non-contact prohibition in </w:t>
      </w:r>
      <w:r w:rsidR="00FC6279">
        <w:rPr>
          <w:i/>
          <w:iCs/>
        </w:rPr>
        <w:t>LW</w:t>
      </w:r>
      <w:r w:rsidRPr="00483914">
        <w:t xml:space="preserve"> in relation to the future spouse</w:t>
      </w:r>
      <w:r w:rsidR="00DF28FE" w:rsidRPr="00483914">
        <w:t xml:space="preserve">. There was no evidence that there had been any volatility in the relationship for over a year and the offender’s new partner was visiting the offender in prison. The </w:t>
      </w:r>
      <w:r w:rsidR="009D35D1">
        <w:t>Applicant</w:t>
      </w:r>
      <w:r w:rsidR="00DF28FE" w:rsidRPr="00483914">
        <w:t xml:space="preserve"> drew </w:t>
      </w:r>
      <w:r w:rsidRPr="00483914">
        <w:t xml:space="preserve">the </w:t>
      </w:r>
      <w:r w:rsidR="0040062E" w:rsidRPr="00483914">
        <w:t>Court’s</w:t>
      </w:r>
      <w:r w:rsidRPr="00483914">
        <w:t xml:space="preserve"> attention was drawn to the decision of the Court of Appeal in</w:t>
      </w:r>
      <w:r w:rsidR="0040062E" w:rsidRPr="00483914">
        <w:t xml:space="preserve"> </w:t>
      </w:r>
      <w:r w:rsidR="0040062E" w:rsidRPr="00483914">
        <w:rPr>
          <w:i/>
          <w:iCs/>
        </w:rPr>
        <w:t>R v Herrington</w:t>
      </w:r>
      <w:r w:rsidR="0040062E" w:rsidRPr="00483914">
        <w:t xml:space="preserve"> [2017] EWCA Crim 889, which related to the reluctance of the court interfering with private relationships in the context of an application for a restraining order against an undoubtedly “unruly and violent man. In </w:t>
      </w:r>
      <w:r w:rsidR="00B66BDD" w:rsidRPr="00483914">
        <w:rPr>
          <w:i/>
          <w:iCs/>
        </w:rPr>
        <w:t xml:space="preserve">R v </w:t>
      </w:r>
      <w:r w:rsidR="009D35D1" w:rsidRPr="00483914">
        <w:rPr>
          <w:i/>
          <w:iCs/>
        </w:rPr>
        <w:t>Herrington</w:t>
      </w:r>
      <w:r w:rsidR="009D35D1" w:rsidRPr="00483914">
        <w:t xml:space="preserve"> [2017],</w:t>
      </w:r>
      <w:r w:rsidR="00B66BDD" w:rsidRPr="00483914">
        <w:t xml:space="preserve"> the judgment of Edis </w:t>
      </w:r>
      <w:r w:rsidR="00E14A25" w:rsidRPr="00483914">
        <w:t>J. at [2] was that: -</w:t>
      </w:r>
    </w:p>
    <w:p w14:paraId="439C3207" w14:textId="77777777" w:rsidR="00E14A25" w:rsidRPr="00483914" w:rsidRDefault="00E14A25" w:rsidP="00E14A25">
      <w:pPr>
        <w:pStyle w:val="ListParagraph"/>
      </w:pPr>
    </w:p>
    <w:p w14:paraId="50B2A3D4" w14:textId="57C59FA5" w:rsidR="005E4BAF" w:rsidRPr="00483914" w:rsidRDefault="005E4BAF" w:rsidP="00E14A25">
      <w:pPr>
        <w:pStyle w:val="ListParagraph"/>
        <w:rPr>
          <w:sz w:val="20"/>
          <w:szCs w:val="20"/>
        </w:rPr>
      </w:pPr>
      <w:r w:rsidRPr="00483914">
        <w:rPr>
          <w:sz w:val="20"/>
          <w:szCs w:val="20"/>
        </w:rPr>
        <w:t xml:space="preserve">““This is not a jurisdiction which can be used to prevent an adult from deciding who she wants to live with. Although any person considering this case would consider that Holly Jones is at serious risk of violence from the appellant, she has the right to live with him if she chooses. It is to be hoped that she is genuinely aware of the risk she is running in doing that, but </w:t>
      </w:r>
      <w:proofErr w:type="gramStart"/>
      <w:r w:rsidRPr="00483914">
        <w:rPr>
          <w:sz w:val="20"/>
          <w:szCs w:val="20"/>
        </w:rPr>
        <w:t>ultimately</w:t>
      </w:r>
      <w:proofErr w:type="gramEnd"/>
      <w:r w:rsidRPr="00483914">
        <w:rPr>
          <w:sz w:val="20"/>
          <w:szCs w:val="20"/>
        </w:rPr>
        <w:t xml:space="preserve"> she is an adult and free to take those decisions for herself. The law does not presently permit the criminal court to act to protect victims of domestic violence against the consequences of decisions of this kind which they freely make.”</w:t>
      </w:r>
    </w:p>
    <w:p w14:paraId="403E6F81" w14:textId="77777777" w:rsidR="005E4BAF" w:rsidRPr="00483914" w:rsidRDefault="005E4BAF" w:rsidP="005E4BAF">
      <w:pPr>
        <w:rPr>
          <w:sz w:val="20"/>
          <w:szCs w:val="20"/>
        </w:rPr>
      </w:pPr>
    </w:p>
    <w:p w14:paraId="0BCE85DE" w14:textId="5536E938" w:rsidR="004B3B82" w:rsidRPr="00483914" w:rsidRDefault="005E4BAF" w:rsidP="00690DBC">
      <w:pPr>
        <w:pStyle w:val="ListParagraph"/>
        <w:numPr>
          <w:ilvl w:val="0"/>
          <w:numId w:val="3"/>
        </w:numPr>
      </w:pPr>
      <w:r w:rsidRPr="00483914">
        <w:t xml:space="preserve">Risk and public protection </w:t>
      </w:r>
      <w:r w:rsidR="005C578B" w:rsidRPr="00483914">
        <w:t>are</w:t>
      </w:r>
      <w:r w:rsidRPr="00483914">
        <w:t xml:space="preserve"> </w:t>
      </w:r>
      <w:r w:rsidR="005C578B">
        <w:t>matters</w:t>
      </w:r>
      <w:r w:rsidRPr="00483914">
        <w:t xml:space="preserve"> that </w:t>
      </w:r>
      <w:proofErr w:type="gramStart"/>
      <w:r w:rsidR="005C578B">
        <w:t xml:space="preserve">have </w:t>
      </w:r>
      <w:r w:rsidRPr="00483914">
        <w:t>to</w:t>
      </w:r>
      <w:proofErr w:type="gramEnd"/>
      <w:r w:rsidRPr="00483914">
        <w:t xml:space="preserve"> be kept under continual review</w:t>
      </w:r>
      <w:r w:rsidR="0033782F" w:rsidRPr="00483914">
        <w:t xml:space="preserve">. It would not be improper for the Police to apply to </w:t>
      </w:r>
      <w:r w:rsidR="00446DA8">
        <w:t>amend by adding more</w:t>
      </w:r>
      <w:r w:rsidR="0033782F" w:rsidRPr="00483914">
        <w:t xml:space="preserve"> onerous conditions including separation from the offender’s new partner, if substantial concerns about </w:t>
      </w:r>
      <w:r w:rsidR="00FC6279">
        <w:t xml:space="preserve">the </w:t>
      </w:r>
      <w:r w:rsidR="0033782F" w:rsidRPr="00483914">
        <w:t>safety</w:t>
      </w:r>
      <w:r w:rsidR="004645A6" w:rsidRPr="00483914">
        <w:t xml:space="preserve"> </w:t>
      </w:r>
      <w:r w:rsidR="00FC6279">
        <w:t>of the partner came to light</w:t>
      </w:r>
      <w:r w:rsidR="004645A6" w:rsidRPr="00483914">
        <w:t xml:space="preserve">– section 103 (5) of the Act. However, this was not a case which needed such </w:t>
      </w:r>
      <w:r w:rsidR="00690DBC" w:rsidRPr="00483914">
        <w:t xml:space="preserve">State intervention at the </w:t>
      </w:r>
      <w:r w:rsidR="003947F7">
        <w:t>initial application</w:t>
      </w:r>
      <w:r w:rsidR="00690DBC" w:rsidRPr="00483914">
        <w:t xml:space="preserve">. </w:t>
      </w:r>
      <w:r w:rsidR="00EE5294" w:rsidRPr="00483914">
        <w:t xml:space="preserve">The VOO tackles </w:t>
      </w:r>
      <w:r w:rsidR="004B3B82" w:rsidRPr="00483914">
        <w:t>offend</w:t>
      </w:r>
      <w:r w:rsidR="00394E18" w:rsidRPr="00483914">
        <w:t>ing behaviour, monitors</w:t>
      </w:r>
      <w:r w:rsidR="004B3B82" w:rsidRPr="00483914">
        <w:t xml:space="preserve"> </w:t>
      </w:r>
      <w:r w:rsidR="00394E18" w:rsidRPr="00483914">
        <w:t xml:space="preserve">movements </w:t>
      </w:r>
      <w:r w:rsidR="004B3B82" w:rsidRPr="00483914">
        <w:t xml:space="preserve">and associations, </w:t>
      </w:r>
      <w:r w:rsidR="00394E18" w:rsidRPr="00483914">
        <w:t>while seeking to minimise incursion into private lives. Proportionality is important</w:t>
      </w:r>
      <w:r w:rsidR="007B1F60" w:rsidRPr="00483914">
        <w:t xml:space="preserve">. </w:t>
      </w:r>
    </w:p>
    <w:p w14:paraId="4F2D8749" w14:textId="77777777" w:rsidR="00690DBC" w:rsidRPr="00483914" w:rsidRDefault="00690DBC" w:rsidP="00690DBC">
      <w:pPr>
        <w:pStyle w:val="ListParagraph"/>
      </w:pPr>
    </w:p>
    <w:p w14:paraId="1278FC64" w14:textId="00FA4EED" w:rsidR="004B3B82" w:rsidRPr="00E0773F" w:rsidRDefault="00503001" w:rsidP="004B3B82">
      <w:pPr>
        <w:pStyle w:val="Heading1"/>
        <w:rPr>
          <w:rFonts w:asciiTheme="minorHAnsi" w:hAnsiTheme="minorHAnsi"/>
          <w:b/>
          <w:bCs/>
          <w:color w:val="002060"/>
          <w:sz w:val="28"/>
          <w:szCs w:val="28"/>
        </w:rPr>
      </w:pPr>
      <w:r w:rsidRPr="00E0773F">
        <w:rPr>
          <w:rFonts w:asciiTheme="minorHAnsi" w:hAnsiTheme="minorHAnsi"/>
          <w:b/>
          <w:bCs/>
          <w:color w:val="002060"/>
          <w:sz w:val="28"/>
          <w:szCs w:val="28"/>
        </w:rPr>
        <w:t xml:space="preserve">And </w:t>
      </w:r>
      <w:r w:rsidR="00483914" w:rsidRPr="00E0773F">
        <w:rPr>
          <w:rFonts w:asciiTheme="minorHAnsi" w:hAnsiTheme="minorHAnsi"/>
          <w:b/>
          <w:bCs/>
          <w:color w:val="002060"/>
          <w:sz w:val="28"/>
          <w:szCs w:val="28"/>
        </w:rPr>
        <w:t>f</w:t>
      </w:r>
      <w:r w:rsidR="00690DBC" w:rsidRPr="00E0773F">
        <w:rPr>
          <w:rFonts w:asciiTheme="minorHAnsi" w:hAnsiTheme="minorHAnsi"/>
          <w:b/>
          <w:bCs/>
          <w:color w:val="002060"/>
          <w:sz w:val="28"/>
          <w:szCs w:val="28"/>
        </w:rPr>
        <w:t>inal</w:t>
      </w:r>
      <w:r w:rsidR="00334B19" w:rsidRPr="00E0773F">
        <w:rPr>
          <w:rFonts w:asciiTheme="minorHAnsi" w:hAnsiTheme="minorHAnsi"/>
          <w:b/>
          <w:bCs/>
          <w:color w:val="002060"/>
          <w:sz w:val="28"/>
          <w:szCs w:val="28"/>
        </w:rPr>
        <w:t>ly</w:t>
      </w:r>
      <w:r w:rsidR="00483914" w:rsidRPr="00E0773F">
        <w:rPr>
          <w:rFonts w:asciiTheme="minorHAnsi" w:hAnsiTheme="minorHAnsi"/>
          <w:b/>
          <w:bCs/>
          <w:color w:val="002060"/>
          <w:sz w:val="28"/>
          <w:szCs w:val="28"/>
        </w:rPr>
        <w:t>…</w:t>
      </w:r>
    </w:p>
    <w:p w14:paraId="69DA53CD" w14:textId="1061ADC6" w:rsidR="00334B19" w:rsidRPr="00483914" w:rsidRDefault="00334B19" w:rsidP="00334B19">
      <w:pPr>
        <w:pStyle w:val="ListParagraph"/>
        <w:numPr>
          <w:ilvl w:val="0"/>
          <w:numId w:val="3"/>
        </w:numPr>
      </w:pPr>
      <w:r w:rsidRPr="00483914">
        <w:t xml:space="preserve">It is neither </w:t>
      </w:r>
      <w:r w:rsidR="00C83F77" w:rsidRPr="00483914">
        <w:t xml:space="preserve">prudent </w:t>
      </w:r>
      <w:r w:rsidR="00483914">
        <w:t>n</w:t>
      </w:r>
      <w:r w:rsidR="00C83F77" w:rsidRPr="00483914">
        <w:t xml:space="preserve">or lawful for </w:t>
      </w:r>
      <w:r w:rsidR="009D35D1">
        <w:t>Applicant</w:t>
      </w:r>
      <w:r w:rsidR="00C83F77" w:rsidRPr="00483914">
        <w:t xml:space="preserve">s to make wide-reaching applications with a myriad of clauses which seek to minimise </w:t>
      </w:r>
      <w:r w:rsidR="00B800A1" w:rsidRPr="00483914">
        <w:t xml:space="preserve">activity such as internet usage </w:t>
      </w:r>
      <w:r w:rsidR="00837C0A" w:rsidRPr="00483914">
        <w:t xml:space="preserve">or denial of access to tablets. there should not be a “cut and paste” approach of other civil orders such as SHPOs but a tailored approach. Location Device Monitoring equipment may be appropriate for an offender who </w:t>
      </w:r>
      <w:r w:rsidR="000C38DA" w:rsidRPr="00483914">
        <w:t xml:space="preserve">poses a significant risk to the public and </w:t>
      </w:r>
      <w:r w:rsidR="00837C0A" w:rsidRPr="00483914">
        <w:t xml:space="preserve">has </w:t>
      </w:r>
      <w:r w:rsidR="000C38DA" w:rsidRPr="00483914">
        <w:t xml:space="preserve">also failed to comply with </w:t>
      </w:r>
      <w:r w:rsidR="00837C0A" w:rsidRPr="00483914">
        <w:t>licence conditions in the past</w:t>
      </w:r>
      <w:r w:rsidR="000C38DA" w:rsidRPr="00483914">
        <w:t xml:space="preserve">. This is not a restriction on liberty, since the offender </w:t>
      </w:r>
      <w:r w:rsidR="00800B65" w:rsidRPr="00483914">
        <w:t xml:space="preserve">is free to move as they choose, but their location will be monitored to </w:t>
      </w:r>
      <w:r w:rsidR="00446DA8" w:rsidRPr="00483914">
        <w:t>minimise</w:t>
      </w:r>
      <w:r w:rsidR="00800B65" w:rsidRPr="00483914">
        <w:t xml:space="preserve"> the risk to the public.</w:t>
      </w:r>
    </w:p>
    <w:p w14:paraId="6AFAE9C9" w14:textId="77777777" w:rsidR="00503001" w:rsidRPr="00483914" w:rsidRDefault="00503001" w:rsidP="00503001">
      <w:pPr>
        <w:pStyle w:val="ListParagraph"/>
      </w:pPr>
    </w:p>
    <w:p w14:paraId="4E9C241A" w14:textId="062E577F" w:rsidR="00800B65" w:rsidRDefault="00800B65" w:rsidP="00334B19">
      <w:pPr>
        <w:pStyle w:val="ListParagraph"/>
        <w:numPr>
          <w:ilvl w:val="0"/>
          <w:numId w:val="3"/>
        </w:numPr>
      </w:pPr>
      <w:r w:rsidRPr="00483914">
        <w:t xml:space="preserve">Defence </w:t>
      </w:r>
      <w:r w:rsidR="007B2EAA" w:rsidRPr="00483914">
        <w:t>practitioners</w:t>
      </w:r>
      <w:r w:rsidRPr="00483914">
        <w:t xml:space="preserve"> should be astute to the concept of </w:t>
      </w:r>
      <w:r w:rsidR="00446DA8" w:rsidRPr="00483914">
        <w:t>necessity.</w:t>
      </w:r>
      <w:r w:rsidR="007B2EAA" w:rsidRPr="00483914">
        <w:t xml:space="preserve"> The focus should be on ensuring </w:t>
      </w:r>
      <w:r w:rsidRPr="00483914">
        <w:t>that blanket prohibitions are not imposed without good reason</w:t>
      </w:r>
      <w:r w:rsidR="007B2EAA" w:rsidRPr="00483914">
        <w:t xml:space="preserve">, since they are likely </w:t>
      </w:r>
      <w:r w:rsidR="00503001" w:rsidRPr="00483914">
        <w:t>to</w:t>
      </w:r>
      <w:r w:rsidR="007B2EAA" w:rsidRPr="00483914">
        <w:t xml:space="preserve"> be unlawful</w:t>
      </w:r>
      <w:r w:rsidR="00503001" w:rsidRPr="00483914">
        <w:t xml:space="preserve">. There should also only be </w:t>
      </w:r>
      <w:r w:rsidR="007B2EAA" w:rsidRPr="00483914">
        <w:t xml:space="preserve">minimal </w:t>
      </w:r>
      <w:r w:rsidR="00503001" w:rsidRPr="00483914">
        <w:lastRenderedPageBreak/>
        <w:t xml:space="preserve">and proportionate </w:t>
      </w:r>
      <w:r w:rsidR="007B2EAA" w:rsidRPr="00483914">
        <w:t>incursion into the private and family life of the offender</w:t>
      </w:r>
      <w:r w:rsidR="00503001" w:rsidRPr="00483914">
        <w:t xml:space="preserve"> to fulfil the aim of public protection</w:t>
      </w:r>
      <w:r w:rsidR="007B2EAA" w:rsidRPr="00483914">
        <w:t xml:space="preserve">, even if </w:t>
      </w:r>
      <w:proofErr w:type="gramStart"/>
      <w:r w:rsidR="007B2EAA" w:rsidRPr="00483914">
        <w:t>it is clear that the</w:t>
      </w:r>
      <w:proofErr w:type="gramEnd"/>
      <w:r w:rsidR="007B2EAA" w:rsidRPr="00483914">
        <w:t xml:space="preserve"> offender has a track record of serious violent behaviour and the public need to be protected by a VOO. </w:t>
      </w:r>
    </w:p>
    <w:p w14:paraId="6944052F" w14:textId="77777777" w:rsidR="004151D5" w:rsidRDefault="004151D5" w:rsidP="004151D5">
      <w:pPr>
        <w:pStyle w:val="ListParagraph"/>
      </w:pPr>
    </w:p>
    <w:p w14:paraId="302A7E82" w14:textId="77777777" w:rsidR="004151D5" w:rsidRDefault="004151D5" w:rsidP="004151D5"/>
    <w:p w14:paraId="2D8845AF" w14:textId="35ED0B8A" w:rsidR="004151D5" w:rsidRDefault="004151D5" w:rsidP="004151D5">
      <w:r>
        <w:t>KANNAN SIVA</w:t>
      </w:r>
    </w:p>
    <w:p w14:paraId="7140D4CE" w14:textId="65D8A839" w:rsidR="004151D5" w:rsidRDefault="004151D5" w:rsidP="004151D5">
      <w:r>
        <w:t xml:space="preserve">Queen Square Chambers, </w:t>
      </w:r>
    </w:p>
    <w:p w14:paraId="6272C210" w14:textId="47FC5A91" w:rsidR="004151D5" w:rsidRDefault="004151D5" w:rsidP="004151D5">
      <w:r>
        <w:t>Bristol</w:t>
      </w:r>
    </w:p>
    <w:p w14:paraId="10B0597A" w14:textId="77777777" w:rsidR="004151D5" w:rsidRDefault="004151D5" w:rsidP="004151D5"/>
    <w:p w14:paraId="40C58032" w14:textId="6316AC88" w:rsidR="004151D5" w:rsidRPr="00483914" w:rsidRDefault="004151D5" w:rsidP="004151D5">
      <w:r>
        <w:t>21</w:t>
      </w:r>
      <w:r w:rsidRPr="004151D5">
        <w:rPr>
          <w:vertAlign w:val="superscript"/>
        </w:rPr>
        <w:t>st</w:t>
      </w:r>
      <w:r>
        <w:t xml:space="preserve"> March 2025</w:t>
      </w:r>
    </w:p>
    <w:p w14:paraId="6D46DF86" w14:textId="6827E11F" w:rsidR="00690DBC" w:rsidRPr="00690DBC" w:rsidRDefault="00D30E98" w:rsidP="00690DBC">
      <w:r>
        <w:rPr>
          <w:noProof/>
        </w:rPr>
        <w:drawing>
          <wp:inline distT="0" distB="0" distL="0" distR="0" wp14:anchorId="5A3E9EC0" wp14:editId="6D6F76A7">
            <wp:extent cx="1676400" cy="962025"/>
            <wp:effectExtent l="0" t="0" r="0" b="9525"/>
            <wp:docPr id="1981946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6400" cy="962025"/>
                    </a:xfrm>
                    <a:prstGeom prst="rect">
                      <a:avLst/>
                    </a:prstGeom>
                    <a:noFill/>
                  </pic:spPr>
                </pic:pic>
              </a:graphicData>
            </a:graphic>
          </wp:inline>
        </w:drawing>
      </w:r>
    </w:p>
    <w:p w14:paraId="78D54768" w14:textId="7EF82205" w:rsidR="00EA7D5D" w:rsidRPr="004B3B82" w:rsidRDefault="00EA7D5D" w:rsidP="004B3B82"/>
    <w:sectPr w:rsidR="00EA7D5D" w:rsidRPr="004B3B8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776119" w14:textId="77777777" w:rsidR="00D65FF7" w:rsidRDefault="00D65FF7" w:rsidP="00D65FF7">
      <w:pPr>
        <w:spacing w:after="0" w:line="240" w:lineRule="auto"/>
      </w:pPr>
      <w:r>
        <w:separator/>
      </w:r>
    </w:p>
  </w:endnote>
  <w:endnote w:type="continuationSeparator" w:id="0">
    <w:p w14:paraId="2418274C" w14:textId="77777777" w:rsidR="00D65FF7" w:rsidRDefault="00D65FF7" w:rsidP="00D65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117963"/>
      <w:docPartObj>
        <w:docPartGallery w:val="Page Numbers (Bottom of Page)"/>
        <w:docPartUnique/>
      </w:docPartObj>
    </w:sdtPr>
    <w:sdtEndPr>
      <w:rPr>
        <w:noProof/>
      </w:rPr>
    </w:sdtEndPr>
    <w:sdtContent>
      <w:p w14:paraId="6ABEA54B" w14:textId="4CB4E7FB" w:rsidR="00D65FF7" w:rsidRDefault="00D65FF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44C6B38" w14:textId="77777777" w:rsidR="00D65FF7" w:rsidRDefault="00D65F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40C46A" w14:textId="77777777" w:rsidR="00D65FF7" w:rsidRDefault="00D65FF7" w:rsidP="00D65FF7">
      <w:pPr>
        <w:spacing w:after="0" w:line="240" w:lineRule="auto"/>
      </w:pPr>
      <w:r>
        <w:separator/>
      </w:r>
    </w:p>
  </w:footnote>
  <w:footnote w:type="continuationSeparator" w:id="0">
    <w:p w14:paraId="22E373D5" w14:textId="77777777" w:rsidR="00D65FF7" w:rsidRDefault="00D65FF7" w:rsidP="00D65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358BC"/>
    <w:multiLevelType w:val="hybridMultilevel"/>
    <w:tmpl w:val="DC343E5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FB6BFC"/>
    <w:multiLevelType w:val="hybridMultilevel"/>
    <w:tmpl w:val="DC96F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095C89"/>
    <w:multiLevelType w:val="hybridMultilevel"/>
    <w:tmpl w:val="6B82C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9571694">
    <w:abstractNumId w:val="2"/>
  </w:num>
  <w:num w:numId="2" w16cid:durableId="425736302">
    <w:abstractNumId w:val="1"/>
  </w:num>
  <w:num w:numId="3" w16cid:durableId="368072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F9D"/>
    <w:rsid w:val="000116A9"/>
    <w:rsid w:val="00042D29"/>
    <w:rsid w:val="00067604"/>
    <w:rsid w:val="000847B0"/>
    <w:rsid w:val="00095808"/>
    <w:rsid w:val="000A2783"/>
    <w:rsid w:val="000B4CF4"/>
    <w:rsid w:val="000B5146"/>
    <w:rsid w:val="000C38DA"/>
    <w:rsid w:val="000D54BF"/>
    <w:rsid w:val="000E178E"/>
    <w:rsid w:val="001176CE"/>
    <w:rsid w:val="001208CA"/>
    <w:rsid w:val="0015442A"/>
    <w:rsid w:val="001565B2"/>
    <w:rsid w:val="00161F44"/>
    <w:rsid w:val="00164BCF"/>
    <w:rsid w:val="00170B4D"/>
    <w:rsid w:val="00174386"/>
    <w:rsid w:val="00184C68"/>
    <w:rsid w:val="00192091"/>
    <w:rsid w:val="001B743C"/>
    <w:rsid w:val="001C0D03"/>
    <w:rsid w:val="001D7731"/>
    <w:rsid w:val="001E4DE3"/>
    <w:rsid w:val="001E7062"/>
    <w:rsid w:val="001E7EC2"/>
    <w:rsid w:val="00202B70"/>
    <w:rsid w:val="00203388"/>
    <w:rsid w:val="00211298"/>
    <w:rsid w:val="0021129C"/>
    <w:rsid w:val="00214A69"/>
    <w:rsid w:val="00217E2F"/>
    <w:rsid w:val="00217F9D"/>
    <w:rsid w:val="002236E0"/>
    <w:rsid w:val="002769A5"/>
    <w:rsid w:val="00287475"/>
    <w:rsid w:val="002A0532"/>
    <w:rsid w:val="002A5D0F"/>
    <w:rsid w:val="002B0F31"/>
    <w:rsid w:val="002C51CA"/>
    <w:rsid w:val="00305746"/>
    <w:rsid w:val="003075F6"/>
    <w:rsid w:val="0031390F"/>
    <w:rsid w:val="00321032"/>
    <w:rsid w:val="00323BC0"/>
    <w:rsid w:val="003264EE"/>
    <w:rsid w:val="00334B19"/>
    <w:rsid w:val="0033782F"/>
    <w:rsid w:val="00337882"/>
    <w:rsid w:val="0036142D"/>
    <w:rsid w:val="00376B2E"/>
    <w:rsid w:val="00382D5F"/>
    <w:rsid w:val="00385C33"/>
    <w:rsid w:val="00393C9D"/>
    <w:rsid w:val="003947F7"/>
    <w:rsid w:val="00394E18"/>
    <w:rsid w:val="003957BB"/>
    <w:rsid w:val="003A6394"/>
    <w:rsid w:val="003B2B38"/>
    <w:rsid w:val="003E6F24"/>
    <w:rsid w:val="003F2824"/>
    <w:rsid w:val="0040062E"/>
    <w:rsid w:val="00403127"/>
    <w:rsid w:val="004056DC"/>
    <w:rsid w:val="004151D5"/>
    <w:rsid w:val="00431857"/>
    <w:rsid w:val="00446DA8"/>
    <w:rsid w:val="004520F9"/>
    <w:rsid w:val="004579E8"/>
    <w:rsid w:val="004645A6"/>
    <w:rsid w:val="00465A57"/>
    <w:rsid w:val="00467D53"/>
    <w:rsid w:val="00470122"/>
    <w:rsid w:val="00483914"/>
    <w:rsid w:val="00490B8B"/>
    <w:rsid w:val="00496A0E"/>
    <w:rsid w:val="004A49C8"/>
    <w:rsid w:val="004B03C1"/>
    <w:rsid w:val="004B3B82"/>
    <w:rsid w:val="004C0D40"/>
    <w:rsid w:val="004C6A0B"/>
    <w:rsid w:val="004C7E68"/>
    <w:rsid w:val="00503001"/>
    <w:rsid w:val="0051290E"/>
    <w:rsid w:val="00517789"/>
    <w:rsid w:val="00536D9A"/>
    <w:rsid w:val="00536F03"/>
    <w:rsid w:val="00585182"/>
    <w:rsid w:val="00591CC5"/>
    <w:rsid w:val="00594197"/>
    <w:rsid w:val="00595ADC"/>
    <w:rsid w:val="005A2917"/>
    <w:rsid w:val="005B16AB"/>
    <w:rsid w:val="005C578B"/>
    <w:rsid w:val="005E250E"/>
    <w:rsid w:val="005E31F1"/>
    <w:rsid w:val="005E4BAF"/>
    <w:rsid w:val="006274D1"/>
    <w:rsid w:val="00630518"/>
    <w:rsid w:val="00634C55"/>
    <w:rsid w:val="006436AD"/>
    <w:rsid w:val="006459EB"/>
    <w:rsid w:val="0067669E"/>
    <w:rsid w:val="00684431"/>
    <w:rsid w:val="00690DBC"/>
    <w:rsid w:val="006A4418"/>
    <w:rsid w:val="006D15DE"/>
    <w:rsid w:val="006E29CE"/>
    <w:rsid w:val="006F1B22"/>
    <w:rsid w:val="006F686E"/>
    <w:rsid w:val="0070579F"/>
    <w:rsid w:val="00710D49"/>
    <w:rsid w:val="007358A6"/>
    <w:rsid w:val="00735BC8"/>
    <w:rsid w:val="00736806"/>
    <w:rsid w:val="007643F2"/>
    <w:rsid w:val="00770259"/>
    <w:rsid w:val="007957CB"/>
    <w:rsid w:val="007A4E93"/>
    <w:rsid w:val="007B0247"/>
    <w:rsid w:val="007B1694"/>
    <w:rsid w:val="007B1F60"/>
    <w:rsid w:val="007B2EAA"/>
    <w:rsid w:val="007B5571"/>
    <w:rsid w:val="007C1101"/>
    <w:rsid w:val="007D27FE"/>
    <w:rsid w:val="007D6960"/>
    <w:rsid w:val="00800B65"/>
    <w:rsid w:val="008235EE"/>
    <w:rsid w:val="00824112"/>
    <w:rsid w:val="00837C0A"/>
    <w:rsid w:val="008543A0"/>
    <w:rsid w:val="008650A9"/>
    <w:rsid w:val="0088742B"/>
    <w:rsid w:val="008B207F"/>
    <w:rsid w:val="008D39A8"/>
    <w:rsid w:val="008E5D02"/>
    <w:rsid w:val="008F1117"/>
    <w:rsid w:val="008F2215"/>
    <w:rsid w:val="00900A6D"/>
    <w:rsid w:val="009102DD"/>
    <w:rsid w:val="00914260"/>
    <w:rsid w:val="0092009A"/>
    <w:rsid w:val="00932301"/>
    <w:rsid w:val="009620C7"/>
    <w:rsid w:val="00980606"/>
    <w:rsid w:val="009852C5"/>
    <w:rsid w:val="0099754D"/>
    <w:rsid w:val="00997745"/>
    <w:rsid w:val="009A3285"/>
    <w:rsid w:val="009C71BD"/>
    <w:rsid w:val="009D35D1"/>
    <w:rsid w:val="009D39E2"/>
    <w:rsid w:val="009E14EC"/>
    <w:rsid w:val="009F5B73"/>
    <w:rsid w:val="00A058E6"/>
    <w:rsid w:val="00A11B0C"/>
    <w:rsid w:val="00A254FB"/>
    <w:rsid w:val="00A50275"/>
    <w:rsid w:val="00A61AFE"/>
    <w:rsid w:val="00A8409E"/>
    <w:rsid w:val="00A95FCD"/>
    <w:rsid w:val="00AA7F39"/>
    <w:rsid w:val="00AB2CEC"/>
    <w:rsid w:val="00AB4C29"/>
    <w:rsid w:val="00AB7833"/>
    <w:rsid w:val="00AC1612"/>
    <w:rsid w:val="00AC5E70"/>
    <w:rsid w:val="00AD2817"/>
    <w:rsid w:val="00AD75B4"/>
    <w:rsid w:val="00AE04CB"/>
    <w:rsid w:val="00AE17D6"/>
    <w:rsid w:val="00AF4814"/>
    <w:rsid w:val="00B164EF"/>
    <w:rsid w:val="00B51EC5"/>
    <w:rsid w:val="00B62B19"/>
    <w:rsid w:val="00B66BDD"/>
    <w:rsid w:val="00B73DB9"/>
    <w:rsid w:val="00B7609A"/>
    <w:rsid w:val="00B76D9A"/>
    <w:rsid w:val="00B800A1"/>
    <w:rsid w:val="00B844E0"/>
    <w:rsid w:val="00B8457E"/>
    <w:rsid w:val="00BC6D0A"/>
    <w:rsid w:val="00BD0CAE"/>
    <w:rsid w:val="00BE31F7"/>
    <w:rsid w:val="00C11160"/>
    <w:rsid w:val="00C40648"/>
    <w:rsid w:val="00C44BA2"/>
    <w:rsid w:val="00C6629F"/>
    <w:rsid w:val="00C74E1B"/>
    <w:rsid w:val="00C83F77"/>
    <w:rsid w:val="00CA7DED"/>
    <w:rsid w:val="00CB417C"/>
    <w:rsid w:val="00CB53F6"/>
    <w:rsid w:val="00CE57B3"/>
    <w:rsid w:val="00CE7059"/>
    <w:rsid w:val="00D10DAD"/>
    <w:rsid w:val="00D21DD1"/>
    <w:rsid w:val="00D23DFC"/>
    <w:rsid w:val="00D30E98"/>
    <w:rsid w:val="00D337D8"/>
    <w:rsid w:val="00D35136"/>
    <w:rsid w:val="00D546FC"/>
    <w:rsid w:val="00D65FF7"/>
    <w:rsid w:val="00D945C0"/>
    <w:rsid w:val="00D94C62"/>
    <w:rsid w:val="00D969CD"/>
    <w:rsid w:val="00DB14D4"/>
    <w:rsid w:val="00DC7ED7"/>
    <w:rsid w:val="00DE16C2"/>
    <w:rsid w:val="00DF28FE"/>
    <w:rsid w:val="00DF2F29"/>
    <w:rsid w:val="00DF3AA3"/>
    <w:rsid w:val="00DF5D58"/>
    <w:rsid w:val="00DF6258"/>
    <w:rsid w:val="00E02B13"/>
    <w:rsid w:val="00E05E11"/>
    <w:rsid w:val="00E0773F"/>
    <w:rsid w:val="00E14A25"/>
    <w:rsid w:val="00E14F5C"/>
    <w:rsid w:val="00E17739"/>
    <w:rsid w:val="00E4541A"/>
    <w:rsid w:val="00E53A96"/>
    <w:rsid w:val="00E55338"/>
    <w:rsid w:val="00E56450"/>
    <w:rsid w:val="00E57C32"/>
    <w:rsid w:val="00E70CF6"/>
    <w:rsid w:val="00E70DE6"/>
    <w:rsid w:val="00E81D0F"/>
    <w:rsid w:val="00E97EE5"/>
    <w:rsid w:val="00EA7D5D"/>
    <w:rsid w:val="00EC13D9"/>
    <w:rsid w:val="00ED1487"/>
    <w:rsid w:val="00EE01C0"/>
    <w:rsid w:val="00EE5294"/>
    <w:rsid w:val="00EF1DD7"/>
    <w:rsid w:val="00EF45A1"/>
    <w:rsid w:val="00F005F9"/>
    <w:rsid w:val="00F1110C"/>
    <w:rsid w:val="00F26DAE"/>
    <w:rsid w:val="00F5444F"/>
    <w:rsid w:val="00F62911"/>
    <w:rsid w:val="00F70F17"/>
    <w:rsid w:val="00F87F80"/>
    <w:rsid w:val="00F94F5C"/>
    <w:rsid w:val="00FB4B6C"/>
    <w:rsid w:val="00FC0253"/>
    <w:rsid w:val="00FC0A84"/>
    <w:rsid w:val="00FC453C"/>
    <w:rsid w:val="00FC6279"/>
    <w:rsid w:val="00FD146E"/>
    <w:rsid w:val="00FD19F8"/>
    <w:rsid w:val="00FD35CC"/>
    <w:rsid w:val="00FE090C"/>
    <w:rsid w:val="00FE2D19"/>
    <w:rsid w:val="00FE4250"/>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0BE4A"/>
  <w15:chartTrackingRefBased/>
  <w15:docId w15:val="{61C50462-B718-4900-AFE2-0F71FB19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17F9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7F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7F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7F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7F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7F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7F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7F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7F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7F9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7F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7F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7F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7F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7F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7F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7F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7F9D"/>
    <w:rPr>
      <w:rFonts w:eastAsiaTheme="majorEastAsia" w:cstheme="majorBidi"/>
      <w:color w:val="272727" w:themeColor="text1" w:themeTint="D8"/>
    </w:rPr>
  </w:style>
  <w:style w:type="paragraph" w:styleId="Title">
    <w:name w:val="Title"/>
    <w:basedOn w:val="Normal"/>
    <w:next w:val="Normal"/>
    <w:link w:val="TitleChar"/>
    <w:uiPriority w:val="10"/>
    <w:qFormat/>
    <w:rsid w:val="00217F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7F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7F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7F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7F9D"/>
    <w:pPr>
      <w:spacing w:before="160"/>
      <w:jc w:val="center"/>
    </w:pPr>
    <w:rPr>
      <w:i/>
      <w:iCs/>
      <w:color w:val="404040" w:themeColor="text1" w:themeTint="BF"/>
    </w:rPr>
  </w:style>
  <w:style w:type="character" w:customStyle="1" w:styleId="QuoteChar">
    <w:name w:val="Quote Char"/>
    <w:basedOn w:val="DefaultParagraphFont"/>
    <w:link w:val="Quote"/>
    <w:uiPriority w:val="29"/>
    <w:rsid w:val="00217F9D"/>
    <w:rPr>
      <w:i/>
      <w:iCs/>
      <w:color w:val="404040" w:themeColor="text1" w:themeTint="BF"/>
    </w:rPr>
  </w:style>
  <w:style w:type="paragraph" w:styleId="ListParagraph">
    <w:name w:val="List Paragraph"/>
    <w:basedOn w:val="Normal"/>
    <w:uiPriority w:val="34"/>
    <w:qFormat/>
    <w:rsid w:val="00217F9D"/>
    <w:pPr>
      <w:ind w:left="720"/>
      <w:contextualSpacing/>
    </w:pPr>
  </w:style>
  <w:style w:type="character" w:styleId="IntenseEmphasis">
    <w:name w:val="Intense Emphasis"/>
    <w:basedOn w:val="DefaultParagraphFont"/>
    <w:uiPriority w:val="21"/>
    <w:qFormat/>
    <w:rsid w:val="00217F9D"/>
    <w:rPr>
      <w:i/>
      <w:iCs/>
      <w:color w:val="0F4761" w:themeColor="accent1" w:themeShade="BF"/>
    </w:rPr>
  </w:style>
  <w:style w:type="paragraph" w:styleId="IntenseQuote">
    <w:name w:val="Intense Quote"/>
    <w:basedOn w:val="Normal"/>
    <w:next w:val="Normal"/>
    <w:link w:val="IntenseQuoteChar"/>
    <w:uiPriority w:val="30"/>
    <w:qFormat/>
    <w:rsid w:val="00217F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7F9D"/>
    <w:rPr>
      <w:i/>
      <w:iCs/>
      <w:color w:val="0F4761" w:themeColor="accent1" w:themeShade="BF"/>
    </w:rPr>
  </w:style>
  <w:style w:type="character" w:styleId="IntenseReference">
    <w:name w:val="Intense Reference"/>
    <w:basedOn w:val="DefaultParagraphFont"/>
    <w:uiPriority w:val="32"/>
    <w:qFormat/>
    <w:rsid w:val="00217F9D"/>
    <w:rPr>
      <w:b/>
      <w:bCs/>
      <w:smallCaps/>
      <w:color w:val="0F4761" w:themeColor="accent1" w:themeShade="BF"/>
      <w:spacing w:val="5"/>
    </w:rPr>
  </w:style>
  <w:style w:type="paragraph" w:styleId="Header">
    <w:name w:val="header"/>
    <w:basedOn w:val="Normal"/>
    <w:link w:val="HeaderChar"/>
    <w:uiPriority w:val="99"/>
    <w:unhideWhenUsed/>
    <w:rsid w:val="00D65F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5FF7"/>
  </w:style>
  <w:style w:type="paragraph" w:styleId="Footer">
    <w:name w:val="footer"/>
    <w:basedOn w:val="Normal"/>
    <w:link w:val="FooterChar"/>
    <w:uiPriority w:val="99"/>
    <w:unhideWhenUsed/>
    <w:rsid w:val="00D65F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5F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70091">
      <w:bodyDiv w:val="1"/>
      <w:marLeft w:val="0"/>
      <w:marRight w:val="0"/>
      <w:marTop w:val="0"/>
      <w:marBottom w:val="0"/>
      <w:divBdr>
        <w:top w:val="none" w:sz="0" w:space="0" w:color="auto"/>
        <w:left w:val="none" w:sz="0" w:space="0" w:color="auto"/>
        <w:bottom w:val="none" w:sz="0" w:space="0" w:color="auto"/>
        <w:right w:val="none" w:sz="0" w:space="0" w:color="auto"/>
      </w:divBdr>
    </w:div>
    <w:div w:id="156968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1742</Words>
  <Characters>9931</Characters>
  <Application>Microsoft Office Word</Application>
  <DocSecurity>4</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Kannan Siva</dc:creator>
  <cp:keywords/>
  <dc:description/>
  <cp:lastModifiedBy>Ken Duthie</cp:lastModifiedBy>
  <cp:revision>2</cp:revision>
  <dcterms:created xsi:type="dcterms:W3CDTF">2025-03-24T10:23:00Z</dcterms:created>
  <dcterms:modified xsi:type="dcterms:W3CDTF">2025-03-24T10:23:00Z</dcterms:modified>
</cp:coreProperties>
</file>